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6E4AC">
      <w:pPr>
        <w:ind w:firstLine="401" w:firstLineChars="132"/>
        <w:jc w:val="center"/>
        <w:rPr>
          <w:rFonts w:hint="default"/>
          <w:b/>
          <w:bCs/>
          <w:sz w:val="36"/>
          <w:szCs w:val="36"/>
          <w:u w:val="none"/>
          <w:lang w:val="en-US" w:eastAsia="zh-CN"/>
        </w:rPr>
      </w:pPr>
      <w:r>
        <w:rPr>
          <w:rFonts w:hint="eastAsia" w:ascii="黑体" w:hAnsi="黑体" w:eastAsia="黑体" w:cs="黑体"/>
          <w:spacing w:val="7"/>
          <w:sz w:val="29"/>
          <w:szCs w:val="29"/>
          <w:u w:val="none"/>
          <w:lang w:eastAsia="zh-CN"/>
        </w:rPr>
        <w:t>财务内控及收费管理系统</w:t>
      </w:r>
      <w:r>
        <w:rPr>
          <w:rFonts w:hint="eastAsia" w:ascii="黑体" w:hAnsi="黑体" w:eastAsia="黑体" w:cs="黑体"/>
          <w:spacing w:val="7"/>
          <w:sz w:val="29"/>
          <w:szCs w:val="29"/>
          <w:u w:val="none"/>
          <w:lang w:val="en-US" w:eastAsia="zh-CN"/>
        </w:rPr>
        <w:t>采购</w:t>
      </w:r>
      <w:bookmarkStart w:id="7" w:name="_GoBack"/>
      <w:bookmarkEnd w:id="7"/>
      <w:r>
        <w:rPr>
          <w:rFonts w:hint="eastAsia" w:ascii="黑体" w:hAnsi="黑体" w:eastAsia="黑体" w:cs="黑体"/>
          <w:spacing w:val="7"/>
          <w:sz w:val="29"/>
          <w:szCs w:val="29"/>
          <w:u w:val="none"/>
          <w:lang w:val="en-US" w:eastAsia="zh-CN"/>
        </w:rPr>
        <w:t>需求</w:t>
      </w:r>
    </w:p>
    <w:p w14:paraId="4C4C10B6">
      <w:pPr>
        <w:pStyle w:val="6"/>
        <w:numPr>
          <w:ilvl w:val="0"/>
          <w:numId w:val="1"/>
        </w:numPr>
        <w:jc w:val="left"/>
        <w:rPr>
          <w:rFonts w:hint="eastAsia"/>
          <w:b/>
          <w:bCs/>
          <w:sz w:val="30"/>
          <w:szCs w:val="30"/>
        </w:rPr>
      </w:pPr>
      <w:r>
        <w:rPr>
          <w:rFonts w:hint="eastAsia"/>
          <w:b/>
          <w:bCs/>
          <w:sz w:val="30"/>
          <w:szCs w:val="30"/>
        </w:rPr>
        <w:t>功能要求</w:t>
      </w:r>
    </w:p>
    <w:tbl>
      <w:tblPr>
        <w:tblStyle w:val="4"/>
        <w:tblW w:w="932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134"/>
        <w:gridCol w:w="5641"/>
        <w:gridCol w:w="567"/>
        <w:gridCol w:w="567"/>
        <w:gridCol w:w="851"/>
      </w:tblGrid>
      <w:tr w14:paraId="694AE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8" w:type="dxa"/>
            <w:tcBorders>
              <w:top w:val="single" w:color="auto" w:sz="4" w:space="0"/>
            </w:tcBorders>
            <w:shd w:val="clear" w:color="auto" w:fill="auto"/>
            <w:noWrap/>
            <w:vAlign w:val="center"/>
          </w:tcPr>
          <w:p w14:paraId="3BCEA6C3">
            <w:pPr>
              <w:jc w:val="center"/>
              <w:rPr>
                <w:rFonts w:hint="eastAsia" w:ascii="宋体" w:hAnsi="宋体" w:cs="宋体"/>
                <w:b/>
                <w:bCs/>
                <w:sz w:val="20"/>
                <w:szCs w:val="20"/>
              </w:rPr>
            </w:pPr>
            <w:r>
              <w:rPr>
                <w:rFonts w:hint="eastAsia" w:ascii="宋体" w:hAnsi="宋体" w:cs="宋体"/>
                <w:b/>
                <w:bCs/>
                <w:sz w:val="20"/>
                <w:szCs w:val="20"/>
              </w:rPr>
              <w:t>序号</w:t>
            </w:r>
          </w:p>
        </w:tc>
        <w:tc>
          <w:tcPr>
            <w:tcW w:w="1134" w:type="dxa"/>
            <w:tcBorders>
              <w:top w:val="single" w:color="auto" w:sz="4" w:space="0"/>
            </w:tcBorders>
            <w:shd w:val="clear" w:color="auto" w:fill="auto"/>
            <w:noWrap w:val="0"/>
            <w:vAlign w:val="center"/>
          </w:tcPr>
          <w:p w14:paraId="4C6715CC">
            <w:pPr>
              <w:jc w:val="center"/>
              <w:rPr>
                <w:rFonts w:hint="eastAsia" w:ascii="宋体" w:hAnsi="宋体" w:cs="宋体"/>
                <w:b/>
                <w:bCs/>
                <w:sz w:val="20"/>
                <w:szCs w:val="20"/>
              </w:rPr>
            </w:pPr>
            <w:r>
              <w:rPr>
                <w:rFonts w:hint="eastAsia" w:ascii="宋体" w:hAnsi="宋体" w:cs="宋体"/>
                <w:b/>
                <w:bCs/>
                <w:sz w:val="20"/>
                <w:szCs w:val="20"/>
              </w:rPr>
              <w:t>功能模块名称</w:t>
            </w:r>
          </w:p>
        </w:tc>
        <w:tc>
          <w:tcPr>
            <w:tcW w:w="5641" w:type="dxa"/>
            <w:tcBorders>
              <w:top w:val="single" w:color="auto" w:sz="4" w:space="0"/>
            </w:tcBorders>
            <w:shd w:val="clear" w:color="auto" w:fill="auto"/>
            <w:noWrap w:val="0"/>
            <w:vAlign w:val="center"/>
          </w:tcPr>
          <w:p w14:paraId="19A67C8A">
            <w:pPr>
              <w:jc w:val="center"/>
              <w:rPr>
                <w:rFonts w:hint="eastAsia" w:ascii="宋体" w:hAnsi="宋体" w:cs="宋体"/>
                <w:b/>
                <w:bCs/>
                <w:sz w:val="20"/>
                <w:szCs w:val="20"/>
              </w:rPr>
            </w:pPr>
            <w:r>
              <w:rPr>
                <w:rFonts w:hint="eastAsia" w:ascii="宋体" w:hAnsi="宋体" w:cs="宋体"/>
                <w:b/>
                <w:bCs/>
                <w:sz w:val="20"/>
                <w:szCs w:val="20"/>
              </w:rPr>
              <w:t>功能模块参数</w:t>
            </w:r>
          </w:p>
        </w:tc>
        <w:tc>
          <w:tcPr>
            <w:tcW w:w="567" w:type="dxa"/>
            <w:tcBorders>
              <w:top w:val="single" w:color="auto" w:sz="4" w:space="0"/>
            </w:tcBorders>
            <w:shd w:val="clear" w:color="auto" w:fill="auto"/>
            <w:noWrap/>
            <w:vAlign w:val="center"/>
          </w:tcPr>
          <w:p w14:paraId="44CAA946">
            <w:pPr>
              <w:jc w:val="center"/>
              <w:rPr>
                <w:rFonts w:hint="eastAsia" w:ascii="宋体" w:hAnsi="宋体" w:cs="宋体"/>
                <w:b/>
                <w:bCs/>
                <w:sz w:val="20"/>
                <w:szCs w:val="20"/>
              </w:rPr>
            </w:pPr>
            <w:r>
              <w:rPr>
                <w:rFonts w:hint="eastAsia" w:ascii="宋体" w:hAnsi="宋体" w:cs="宋体"/>
                <w:b/>
                <w:bCs/>
                <w:sz w:val="20"/>
                <w:szCs w:val="20"/>
              </w:rPr>
              <w:t>数量</w:t>
            </w:r>
          </w:p>
        </w:tc>
        <w:tc>
          <w:tcPr>
            <w:tcW w:w="567" w:type="dxa"/>
            <w:tcBorders>
              <w:top w:val="single" w:color="auto" w:sz="4" w:space="0"/>
            </w:tcBorders>
            <w:shd w:val="clear" w:color="auto" w:fill="auto"/>
            <w:noWrap/>
            <w:vAlign w:val="center"/>
          </w:tcPr>
          <w:p w14:paraId="19DABDB2">
            <w:pPr>
              <w:jc w:val="center"/>
              <w:rPr>
                <w:rFonts w:hint="eastAsia" w:ascii="宋体" w:hAnsi="宋体" w:cs="宋体"/>
                <w:b/>
                <w:bCs/>
                <w:sz w:val="20"/>
                <w:szCs w:val="20"/>
              </w:rPr>
            </w:pPr>
            <w:r>
              <w:rPr>
                <w:rFonts w:hint="eastAsia" w:ascii="宋体" w:hAnsi="宋体" w:cs="宋体"/>
                <w:b/>
                <w:bCs/>
                <w:sz w:val="20"/>
                <w:szCs w:val="20"/>
              </w:rPr>
              <w:t>单位</w:t>
            </w:r>
          </w:p>
        </w:tc>
        <w:tc>
          <w:tcPr>
            <w:tcW w:w="851" w:type="dxa"/>
            <w:tcBorders>
              <w:top w:val="single" w:color="auto" w:sz="4" w:space="0"/>
            </w:tcBorders>
            <w:shd w:val="clear" w:color="auto" w:fill="auto"/>
            <w:noWrap/>
            <w:vAlign w:val="center"/>
          </w:tcPr>
          <w:p w14:paraId="15F09996">
            <w:pPr>
              <w:jc w:val="center"/>
              <w:rPr>
                <w:rFonts w:hint="eastAsia" w:ascii="宋体" w:hAnsi="宋体" w:cs="宋体"/>
                <w:b/>
                <w:bCs/>
                <w:sz w:val="20"/>
                <w:szCs w:val="20"/>
              </w:rPr>
            </w:pPr>
            <w:r>
              <w:rPr>
                <w:rFonts w:hint="eastAsia" w:ascii="宋体" w:hAnsi="宋体" w:cs="宋体"/>
                <w:b/>
                <w:bCs/>
                <w:sz w:val="20"/>
                <w:szCs w:val="20"/>
              </w:rPr>
              <w:t>用户数</w:t>
            </w:r>
          </w:p>
        </w:tc>
      </w:tr>
      <w:tr w14:paraId="5228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568" w:type="dxa"/>
            <w:shd w:val="clear" w:color="auto" w:fill="auto"/>
            <w:noWrap/>
            <w:vAlign w:val="center"/>
          </w:tcPr>
          <w:p w14:paraId="4E741F76">
            <w:pPr>
              <w:spacing w:line="276" w:lineRule="auto"/>
              <w:jc w:val="center"/>
              <w:rPr>
                <w:rFonts w:hint="eastAsia" w:ascii="宋体" w:hAnsi="宋体" w:cs="宋体"/>
                <w:sz w:val="20"/>
                <w:szCs w:val="20"/>
                <w:highlight w:val="none"/>
              </w:rPr>
            </w:pPr>
            <w:r>
              <w:rPr>
                <w:rFonts w:hint="eastAsia" w:ascii="宋体" w:hAnsi="宋体" w:cs="宋体"/>
                <w:sz w:val="20"/>
                <w:szCs w:val="20"/>
                <w:highlight w:val="none"/>
              </w:rPr>
              <w:t>1</w:t>
            </w:r>
          </w:p>
        </w:tc>
        <w:tc>
          <w:tcPr>
            <w:tcW w:w="1134" w:type="dxa"/>
            <w:shd w:val="clear" w:color="auto" w:fill="auto"/>
            <w:noWrap w:val="0"/>
            <w:vAlign w:val="center"/>
          </w:tcPr>
          <w:p w14:paraId="13B43E18">
            <w:pPr>
              <w:spacing w:line="276" w:lineRule="auto"/>
              <w:rPr>
                <w:rFonts w:hint="eastAsia" w:ascii="宋体" w:hAnsi="宋体" w:cs="宋体"/>
                <w:highlight w:val="none"/>
              </w:rPr>
            </w:pPr>
            <w:bookmarkStart w:id="0" w:name="_Toc30109"/>
            <w:bookmarkStart w:id="1" w:name="_Toc490146295"/>
            <w:r>
              <w:rPr>
                <w:rFonts w:hint="eastAsia" w:ascii="宋体" w:hAnsi="宋体" w:cs="宋体"/>
                <w:highlight w:val="none"/>
              </w:rPr>
              <w:t>基础数据管理系统</w:t>
            </w:r>
            <w:bookmarkEnd w:id="0"/>
            <w:bookmarkEnd w:id="1"/>
          </w:p>
          <w:p w14:paraId="79058A76">
            <w:pPr>
              <w:spacing w:line="276" w:lineRule="auto"/>
              <w:jc w:val="center"/>
              <w:rPr>
                <w:rFonts w:hint="eastAsia" w:ascii="宋体" w:hAnsi="宋体" w:cs="宋体"/>
                <w:sz w:val="20"/>
                <w:szCs w:val="20"/>
                <w:highlight w:val="none"/>
              </w:rPr>
            </w:pPr>
          </w:p>
        </w:tc>
        <w:tc>
          <w:tcPr>
            <w:tcW w:w="5641" w:type="dxa"/>
            <w:shd w:val="clear" w:color="auto" w:fill="auto"/>
            <w:noWrap w:val="0"/>
            <w:vAlign w:val="center"/>
          </w:tcPr>
          <w:p w14:paraId="43E80C41">
            <w:pPr>
              <w:spacing w:line="276" w:lineRule="auto"/>
              <w:ind w:firstLine="420" w:firstLineChars="200"/>
              <w:rPr>
                <w:rFonts w:hint="eastAsia" w:ascii="宋体" w:hAnsi="宋体" w:cs="宋体"/>
                <w:highlight w:val="none"/>
                <w:lang w:eastAsia="zh-CN"/>
              </w:rPr>
            </w:pPr>
            <w:r>
              <w:rPr>
                <w:rFonts w:hint="eastAsia" w:ascii="宋体" w:hAnsi="宋体" w:cs="宋体"/>
                <w:highlight w:val="none"/>
                <w:lang w:eastAsia="zh-CN"/>
              </w:rPr>
              <w:t>通过高校财务管理软件基础数据管理系统平台，为学校与财务部门创造统一的平台环境，统一规范学校与财务部门内部的基础资料信息与口径标准，要求统一组织结构、统一业务规范、统一基础数据、统一权限管理，并通过与数字校园集成实现财务查询与服务、提升工作效率和管理水平。</w:t>
            </w:r>
          </w:p>
          <w:p w14:paraId="4BC01AB0">
            <w:pPr>
              <w:spacing w:line="276" w:lineRule="auto"/>
              <w:ind w:firstLine="420" w:firstLineChars="200"/>
              <w:rPr>
                <w:rFonts w:hint="eastAsia" w:ascii="宋体" w:hAnsi="宋体" w:cs="宋体"/>
                <w:highlight w:val="none"/>
                <w:lang w:eastAsia="zh-CN"/>
              </w:rPr>
            </w:pPr>
            <w:r>
              <w:rPr>
                <w:rFonts w:hint="eastAsia" w:ascii="宋体" w:hAnsi="宋体" w:cs="宋体"/>
                <w:highlight w:val="none"/>
                <w:lang w:eastAsia="zh-CN"/>
              </w:rPr>
              <w:t>本系统平台集中实现核算单位账套、科目模板、系统级辅助核算项、操作人员及权限的设置。同时能够满足以下要求：</w:t>
            </w:r>
          </w:p>
          <w:p w14:paraId="248355E0">
            <w:pPr>
              <w:spacing w:line="276" w:lineRule="auto"/>
              <w:ind w:firstLine="420" w:firstLineChars="200"/>
              <w:rPr>
                <w:rFonts w:hint="eastAsia" w:ascii="宋体" w:hAnsi="宋体" w:cs="宋体"/>
                <w:highlight w:val="none"/>
                <w:lang w:eastAsia="zh-CN"/>
              </w:rPr>
            </w:pPr>
            <w:r>
              <w:rPr>
                <w:rFonts w:hint="eastAsia" w:ascii="宋体" w:hAnsi="宋体" w:cs="宋体"/>
                <w:highlight w:val="none"/>
                <w:lang w:eastAsia="zh-CN"/>
              </w:rPr>
              <w:t>1、</w:t>
            </w:r>
            <w:r>
              <w:rPr>
                <w:rFonts w:hint="eastAsia" w:ascii="宋体" w:hAnsi="宋体" w:cs="宋体"/>
                <w:bCs/>
                <w:highlight w:val="none"/>
                <w:lang w:eastAsia="zh-CN"/>
              </w:rPr>
              <w:t xml:space="preserve"> </w:t>
            </w:r>
            <w:r>
              <w:rPr>
                <w:rFonts w:hint="eastAsia" w:ascii="宋体" w:hAnsi="宋体" w:cs="宋体"/>
                <w:highlight w:val="none"/>
                <w:lang w:eastAsia="zh-CN"/>
              </w:rPr>
              <w:t>系统支持组织结构管理：统一的权限组织结构管理，支持多层组织结构、用户授权管理，满足高效、共享基础资料管理要求。</w:t>
            </w:r>
          </w:p>
          <w:p w14:paraId="6995D869">
            <w:pPr>
              <w:spacing w:line="276" w:lineRule="auto"/>
              <w:ind w:firstLine="420" w:firstLineChars="200"/>
              <w:rPr>
                <w:rFonts w:hint="eastAsia" w:ascii="宋体" w:hAnsi="宋体" w:cs="宋体"/>
                <w:highlight w:val="none"/>
                <w:lang w:eastAsia="zh-CN"/>
              </w:rPr>
            </w:pPr>
            <w:r>
              <w:rPr>
                <w:rFonts w:hint="eastAsia" w:ascii="宋体" w:hAnsi="宋体" w:cs="宋体"/>
                <w:highlight w:val="none"/>
                <w:lang w:eastAsia="zh-CN"/>
              </w:rPr>
              <w:t>2、</w:t>
            </w:r>
            <w:r>
              <w:rPr>
                <w:rFonts w:hint="eastAsia" w:ascii="宋体" w:hAnsi="宋体" w:cs="宋体"/>
                <w:bCs/>
                <w:highlight w:val="none"/>
                <w:lang w:eastAsia="zh-CN"/>
              </w:rPr>
              <w:t xml:space="preserve"> </w:t>
            </w:r>
            <w:r>
              <w:rPr>
                <w:rFonts w:hint="eastAsia" w:ascii="宋体" w:hAnsi="宋体" w:cs="宋体"/>
                <w:highlight w:val="none"/>
                <w:lang w:eastAsia="zh-CN"/>
              </w:rPr>
              <w:t>系统支持权限管理：采用统一的权限控制机制，根据角色、职位确定的用户权限的控制，对数据进行权限控制，可实现一人多限，限制保密信息的数据交换；</w:t>
            </w:r>
          </w:p>
          <w:p w14:paraId="560A1D97">
            <w:pPr>
              <w:spacing w:line="276" w:lineRule="auto"/>
              <w:ind w:firstLine="420" w:firstLineChars="200"/>
              <w:rPr>
                <w:rFonts w:hint="eastAsia" w:ascii="宋体" w:hAnsi="宋体" w:cs="宋体"/>
                <w:highlight w:val="none"/>
                <w:lang w:eastAsia="zh-CN"/>
              </w:rPr>
            </w:pPr>
            <w:r>
              <w:rPr>
                <w:rFonts w:hint="eastAsia" w:ascii="宋体" w:hAnsi="宋体" w:cs="宋体"/>
                <w:highlight w:val="none"/>
                <w:lang w:eastAsia="zh-CN"/>
              </w:rPr>
              <w:t>3、系统支持单位管理，支持维护单位的基本信息（单位编码、单位名称、负责人、电话、地址），设置停用、启用状态。</w:t>
            </w:r>
          </w:p>
          <w:p w14:paraId="2AB27B9B">
            <w:pPr>
              <w:spacing w:line="276" w:lineRule="auto"/>
              <w:ind w:firstLine="420" w:firstLineChars="200"/>
              <w:rPr>
                <w:rFonts w:hint="eastAsia" w:ascii="宋体" w:hAnsi="宋体" w:cs="宋体"/>
                <w:highlight w:val="none"/>
                <w:lang w:eastAsia="zh-CN"/>
              </w:rPr>
            </w:pPr>
            <w:r>
              <w:rPr>
                <w:rFonts w:hint="eastAsia" w:ascii="宋体" w:hAnsi="宋体" w:cs="宋体"/>
                <w:highlight w:val="none"/>
                <w:lang w:eastAsia="zh-CN"/>
              </w:rPr>
              <w:t>4、系统支持角色管理，维护平台的角色信息（角色编号、角色名称等），设置角色拥有的菜单功能权限。</w:t>
            </w:r>
          </w:p>
          <w:p w14:paraId="606304F2">
            <w:pPr>
              <w:spacing w:line="276" w:lineRule="auto"/>
              <w:ind w:firstLine="420" w:firstLineChars="200"/>
              <w:rPr>
                <w:rFonts w:hint="eastAsia" w:ascii="宋体" w:hAnsi="宋体" w:cs="宋体"/>
                <w:sz w:val="20"/>
                <w:szCs w:val="20"/>
                <w:highlight w:val="yellow"/>
                <w:lang w:eastAsia="zh-CN"/>
              </w:rPr>
            </w:pPr>
            <w:r>
              <w:rPr>
                <w:rFonts w:hint="eastAsia" w:ascii="宋体" w:hAnsi="宋体" w:cs="宋体"/>
                <w:highlight w:val="none"/>
                <w:lang w:eastAsia="zh-CN"/>
              </w:rPr>
              <w:t>5、系统支持用户管理，维护平台的用户信息，设置用户所属单位和角色，一个用户可以对应多个角色</w:t>
            </w:r>
          </w:p>
        </w:tc>
        <w:tc>
          <w:tcPr>
            <w:tcW w:w="567" w:type="dxa"/>
            <w:shd w:val="clear" w:color="auto" w:fill="auto"/>
            <w:noWrap/>
            <w:vAlign w:val="center"/>
          </w:tcPr>
          <w:p w14:paraId="3BD56EB6">
            <w:pPr>
              <w:jc w:val="center"/>
              <w:rPr>
                <w:rFonts w:hint="eastAsia" w:ascii="宋体" w:hAnsi="宋体" w:cs="宋体"/>
                <w:sz w:val="20"/>
                <w:szCs w:val="20"/>
                <w:highlight w:val="none"/>
              </w:rPr>
            </w:pPr>
            <w:r>
              <w:rPr>
                <w:rFonts w:hint="eastAsia" w:ascii="宋体" w:hAnsi="宋体" w:cs="宋体"/>
                <w:sz w:val="20"/>
                <w:szCs w:val="20"/>
                <w:highlight w:val="none"/>
              </w:rPr>
              <w:t>1</w:t>
            </w:r>
          </w:p>
        </w:tc>
        <w:tc>
          <w:tcPr>
            <w:tcW w:w="567" w:type="dxa"/>
            <w:shd w:val="clear" w:color="auto" w:fill="auto"/>
            <w:noWrap/>
            <w:vAlign w:val="center"/>
          </w:tcPr>
          <w:p w14:paraId="48245F16">
            <w:pPr>
              <w:jc w:val="center"/>
              <w:rPr>
                <w:rFonts w:hint="eastAsia" w:ascii="宋体" w:hAnsi="宋体" w:cs="宋体"/>
                <w:sz w:val="20"/>
                <w:szCs w:val="20"/>
                <w:highlight w:val="none"/>
              </w:rPr>
            </w:pPr>
            <w:r>
              <w:rPr>
                <w:rFonts w:hint="eastAsia" w:ascii="宋体" w:hAnsi="宋体" w:cs="宋体"/>
                <w:sz w:val="20"/>
                <w:szCs w:val="20"/>
                <w:highlight w:val="none"/>
              </w:rPr>
              <w:t>套</w:t>
            </w:r>
          </w:p>
        </w:tc>
        <w:tc>
          <w:tcPr>
            <w:tcW w:w="851" w:type="dxa"/>
            <w:shd w:val="clear" w:color="auto" w:fill="auto"/>
            <w:noWrap/>
            <w:vAlign w:val="center"/>
          </w:tcPr>
          <w:p w14:paraId="48A1737C">
            <w:pPr>
              <w:jc w:val="center"/>
              <w:rPr>
                <w:rFonts w:hint="eastAsia" w:ascii="宋体" w:hAnsi="宋体" w:cs="宋体"/>
                <w:sz w:val="20"/>
                <w:szCs w:val="20"/>
                <w:highlight w:val="none"/>
              </w:rPr>
            </w:pPr>
            <w:r>
              <w:rPr>
                <w:rFonts w:hint="eastAsia" w:ascii="宋体" w:hAnsi="宋体"/>
                <w:highlight w:val="none"/>
              </w:rPr>
              <w:t>不限</w:t>
            </w:r>
          </w:p>
        </w:tc>
      </w:tr>
      <w:tr w14:paraId="465F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568" w:type="dxa"/>
            <w:shd w:val="clear" w:color="auto" w:fill="auto"/>
            <w:noWrap/>
            <w:vAlign w:val="center"/>
          </w:tcPr>
          <w:p w14:paraId="4CD9C50C">
            <w:pPr>
              <w:spacing w:line="276" w:lineRule="auto"/>
              <w:rPr>
                <w:rFonts w:hint="eastAsia" w:ascii="宋体" w:hAnsi="宋体" w:cs="宋体"/>
              </w:rPr>
            </w:pPr>
            <w:r>
              <w:rPr>
                <w:rFonts w:hint="eastAsia" w:ascii="宋体" w:hAnsi="宋体" w:cs="宋体"/>
              </w:rPr>
              <w:t>2</w:t>
            </w:r>
          </w:p>
        </w:tc>
        <w:tc>
          <w:tcPr>
            <w:tcW w:w="1134" w:type="dxa"/>
            <w:shd w:val="clear" w:color="auto" w:fill="auto"/>
            <w:noWrap w:val="0"/>
            <w:vAlign w:val="center"/>
          </w:tcPr>
          <w:p w14:paraId="5FD044A3">
            <w:pPr>
              <w:pStyle w:val="3"/>
              <w:spacing w:before="0" w:after="0" w:line="276" w:lineRule="auto"/>
              <w:rPr>
                <w:rFonts w:hint="eastAsia" w:ascii="宋体" w:hAnsi="宋体" w:eastAsia="宋体" w:cs="宋体"/>
                <w:b w:val="0"/>
                <w:bCs w:val="0"/>
                <w:sz w:val="21"/>
                <w:szCs w:val="21"/>
              </w:rPr>
            </w:pPr>
            <w:bookmarkStart w:id="2" w:name="_Toc490146297"/>
            <w:bookmarkStart w:id="3" w:name="_Toc2019"/>
            <w:r>
              <w:rPr>
                <w:rFonts w:hint="eastAsia" w:ascii="宋体" w:hAnsi="宋体" w:eastAsia="宋体" w:cs="宋体"/>
                <w:b w:val="0"/>
                <w:bCs w:val="0"/>
                <w:sz w:val="21"/>
                <w:szCs w:val="21"/>
              </w:rPr>
              <w:t>账务处理系统</w:t>
            </w:r>
            <w:bookmarkEnd w:id="2"/>
            <w:bookmarkEnd w:id="3"/>
          </w:p>
          <w:p w14:paraId="1CEB3900">
            <w:pPr>
              <w:spacing w:line="276" w:lineRule="auto"/>
              <w:rPr>
                <w:rFonts w:hint="eastAsia" w:ascii="宋体" w:hAnsi="宋体" w:cs="宋体"/>
              </w:rPr>
            </w:pPr>
          </w:p>
        </w:tc>
        <w:tc>
          <w:tcPr>
            <w:tcW w:w="5641" w:type="dxa"/>
            <w:shd w:val="clear" w:color="auto" w:fill="auto"/>
            <w:noWrap w:val="0"/>
            <w:vAlign w:val="center"/>
          </w:tcPr>
          <w:p w14:paraId="14C76C19">
            <w:pPr>
              <w:spacing w:line="276" w:lineRule="auto"/>
              <w:ind w:firstLine="420" w:firstLineChars="200"/>
              <w:rPr>
                <w:rFonts w:hint="eastAsia" w:ascii="宋体" w:hAnsi="宋体" w:cs="宋体"/>
                <w:lang w:eastAsia="zh-CN"/>
              </w:rPr>
            </w:pPr>
            <w:r>
              <w:rPr>
                <w:rFonts w:hint="eastAsia" w:ascii="宋体" w:hAnsi="宋体" w:cs="宋体"/>
                <w:lang w:eastAsia="zh-CN"/>
              </w:rPr>
              <w:t>账务处理系统以凭证的编制、审核、记账为主线，以辅助核算为手段，以各种账表为表现形式，完成账务处理、银行对账、单位（个人）往来管理、部门核算、项目核算理等日常会计核算工作，并提供总账、明细账、日记账、余额表和各种辅助核算账表，各种账表之间可以进行穿透式查询。同时要求能够实现如下要求：</w:t>
            </w:r>
          </w:p>
          <w:p w14:paraId="46A2AAA8">
            <w:pPr>
              <w:spacing w:line="276" w:lineRule="auto"/>
              <w:ind w:firstLine="420" w:firstLineChars="200"/>
              <w:rPr>
                <w:rFonts w:hint="eastAsia" w:ascii="宋体" w:hAnsi="宋体" w:cs="宋体"/>
                <w:lang w:eastAsia="zh-CN"/>
              </w:rPr>
            </w:pPr>
            <w:r>
              <w:rPr>
                <w:rFonts w:hint="eastAsia" w:ascii="宋体" w:hAnsi="宋体" w:cs="宋体"/>
                <w:lang w:eastAsia="zh-CN"/>
              </w:rPr>
              <w:t>① 凭证自动平衡、凭证录入时可保存可恢复凭证文件、能够批量进行审核、记账、销审；</w:t>
            </w:r>
          </w:p>
          <w:p w14:paraId="2C83342B">
            <w:pPr>
              <w:spacing w:line="276" w:lineRule="auto"/>
              <w:ind w:firstLine="420" w:firstLineChars="200"/>
              <w:rPr>
                <w:rFonts w:hint="eastAsia" w:ascii="宋体" w:hAnsi="宋体" w:cs="宋体"/>
                <w:lang w:eastAsia="zh-CN"/>
              </w:rPr>
            </w:pPr>
            <w:r>
              <w:rPr>
                <w:rFonts w:hint="eastAsia" w:ascii="宋体" w:hAnsi="宋体" w:cs="宋体"/>
                <w:lang w:eastAsia="zh-CN"/>
              </w:rPr>
              <w:t>② 多种账薄输出格式（三栏式、数量式、复币式和数量外币式等），支持未记账账薄查询；</w:t>
            </w:r>
          </w:p>
          <w:p w14:paraId="12A22B9A">
            <w:pPr>
              <w:spacing w:line="276" w:lineRule="auto"/>
              <w:ind w:firstLine="420" w:firstLineChars="200"/>
              <w:rPr>
                <w:rFonts w:hint="eastAsia" w:ascii="宋体" w:hAnsi="宋体" w:cs="宋体"/>
                <w:lang w:eastAsia="zh-CN"/>
              </w:rPr>
            </w:pPr>
            <w:r>
              <w:rPr>
                <w:rFonts w:hint="eastAsia" w:ascii="宋体" w:hAnsi="宋体" w:cs="宋体"/>
                <w:lang w:eastAsia="zh-CN"/>
              </w:rPr>
              <w:t>③上级主管单位控制的不能修改的科目系统单位各单位不能修改，上级单位控制不能增加明细科目的各核算单位不能增加；</w:t>
            </w:r>
          </w:p>
          <w:p w14:paraId="0EB7D5F2">
            <w:pPr>
              <w:spacing w:line="276" w:lineRule="auto"/>
              <w:ind w:firstLine="420" w:firstLineChars="200"/>
              <w:rPr>
                <w:rFonts w:hint="eastAsia" w:ascii="宋体" w:hAnsi="宋体" w:cs="宋体"/>
                <w:lang w:eastAsia="zh-CN"/>
              </w:rPr>
            </w:pPr>
            <w:r>
              <w:rPr>
                <w:rFonts w:hint="eastAsia" w:ascii="宋体" w:hAnsi="宋体" w:cs="宋体"/>
                <w:lang w:eastAsia="zh-CN"/>
              </w:rPr>
              <w:t>④凭证箱功能，凭证箱中把凭证分为了未审核、已审核、已记账、已作废、错误凭证列表，要查看对应凭证双击打开即可；</w:t>
            </w:r>
          </w:p>
          <w:p w14:paraId="407A2365">
            <w:pPr>
              <w:spacing w:line="276" w:lineRule="auto"/>
              <w:ind w:firstLine="420" w:firstLineChars="200"/>
              <w:rPr>
                <w:rFonts w:hint="eastAsia" w:ascii="宋体" w:hAnsi="宋体" w:cs="宋体"/>
                <w:lang w:eastAsia="zh-CN"/>
              </w:rPr>
            </w:pPr>
            <w:r>
              <w:rPr>
                <w:rFonts w:hint="eastAsia" w:ascii="宋体" w:hAnsi="宋体" w:cs="宋体"/>
                <w:lang w:eastAsia="zh-CN"/>
              </w:rPr>
              <w:t>⑤凭证录入可以同时打开3 个凭证录入或查询窗口；</w:t>
            </w:r>
          </w:p>
          <w:p w14:paraId="3C9130CE">
            <w:pPr>
              <w:spacing w:line="276" w:lineRule="auto"/>
              <w:ind w:firstLine="420" w:firstLineChars="200"/>
              <w:rPr>
                <w:rFonts w:hint="eastAsia" w:ascii="宋体" w:hAnsi="宋体" w:cs="宋体"/>
                <w:lang w:eastAsia="zh-CN"/>
              </w:rPr>
            </w:pPr>
            <w:r>
              <w:rPr>
                <w:rFonts w:hint="eastAsia" w:ascii="宋体" w:hAnsi="宋体" w:cs="宋体"/>
                <w:lang w:eastAsia="zh-CN"/>
              </w:rPr>
              <w:t>⑥软件可以同时打开多个窗口，可随意切换。</w:t>
            </w:r>
          </w:p>
          <w:p w14:paraId="09FC661B">
            <w:pPr>
              <w:spacing w:line="276" w:lineRule="auto"/>
              <w:ind w:firstLine="420" w:firstLineChars="200"/>
              <w:rPr>
                <w:rFonts w:hint="eastAsia" w:ascii="宋体" w:hAnsi="宋体" w:cs="宋体"/>
                <w:lang w:eastAsia="zh-CN"/>
              </w:rPr>
            </w:pPr>
            <w:r>
              <w:rPr>
                <w:rFonts w:hint="eastAsia" w:ascii="宋体" w:hAnsi="宋体" w:cs="宋体"/>
                <w:lang w:eastAsia="zh-CN"/>
              </w:rPr>
              <w:t>⑦凭证录入时可以保存电子附件；</w:t>
            </w:r>
          </w:p>
          <w:p w14:paraId="3EE32316">
            <w:pPr>
              <w:spacing w:line="276" w:lineRule="auto"/>
              <w:ind w:firstLine="420" w:firstLineChars="200"/>
              <w:rPr>
                <w:rFonts w:hint="eastAsia" w:ascii="宋体" w:hAnsi="宋体" w:cs="宋体"/>
                <w:lang w:eastAsia="zh-CN"/>
              </w:rPr>
            </w:pPr>
            <w:r>
              <w:rPr>
                <w:rFonts w:hint="eastAsia" w:ascii="宋体" w:hAnsi="宋体" w:cs="宋体"/>
                <w:lang w:eastAsia="zh-CN"/>
              </w:rPr>
              <w:t>⑧凭证录入完成可生成凭证汇总表（能汇总原始凭证数量）。</w:t>
            </w:r>
          </w:p>
          <w:p w14:paraId="55417854">
            <w:pPr>
              <w:spacing w:line="276" w:lineRule="auto"/>
              <w:ind w:firstLine="420" w:firstLineChars="200"/>
              <w:rPr>
                <w:rFonts w:hint="eastAsia" w:ascii="宋体" w:hAnsi="宋体" w:cs="宋体"/>
                <w:lang w:eastAsia="zh-CN"/>
              </w:rPr>
            </w:pPr>
            <w:r>
              <w:rPr>
                <w:rFonts w:hint="eastAsia" w:ascii="宋体" w:hAnsi="宋体" w:cs="宋体"/>
                <w:lang w:eastAsia="zh-CN"/>
              </w:rPr>
              <w:t>⑨账簿支持连续打印（不需要一个科目一个科目地去点打印）</w:t>
            </w:r>
          </w:p>
          <w:p w14:paraId="06FEF86F">
            <w:pPr>
              <w:spacing w:line="276" w:lineRule="auto"/>
              <w:ind w:firstLine="420" w:firstLineChars="200"/>
              <w:rPr>
                <w:rFonts w:hint="eastAsia" w:ascii="宋体" w:hAnsi="宋体" w:cs="宋体"/>
                <w:lang w:eastAsia="zh-CN"/>
              </w:rPr>
            </w:pPr>
            <w:r>
              <w:rPr>
                <w:rFonts w:hint="eastAsia" w:ascii="宋体" w:hAnsi="宋体" w:cs="宋体"/>
                <w:lang w:eastAsia="zh-CN"/>
              </w:rPr>
              <w:t>⑩能够支持10 个固定辅助核算进行交叉核算；</w:t>
            </w:r>
          </w:p>
          <w:p w14:paraId="3F3D8F94">
            <w:pPr>
              <w:spacing w:line="276" w:lineRule="auto"/>
              <w:rPr>
                <w:rFonts w:hint="eastAsia" w:ascii="宋体" w:hAnsi="宋体" w:cs="宋体"/>
                <w:lang w:eastAsia="zh-CN"/>
              </w:rPr>
            </w:pPr>
          </w:p>
        </w:tc>
        <w:tc>
          <w:tcPr>
            <w:tcW w:w="567" w:type="dxa"/>
            <w:shd w:val="clear" w:color="auto" w:fill="auto"/>
            <w:noWrap/>
            <w:vAlign w:val="center"/>
          </w:tcPr>
          <w:p w14:paraId="55DEA648">
            <w:pPr>
              <w:jc w:val="center"/>
              <w:rPr>
                <w:rFonts w:hint="eastAsia" w:ascii="宋体" w:hAnsi="宋体" w:cs="宋体"/>
                <w:sz w:val="20"/>
                <w:szCs w:val="20"/>
              </w:rPr>
            </w:pPr>
            <w:r>
              <w:rPr>
                <w:rFonts w:hint="eastAsia" w:ascii="宋体" w:hAnsi="宋体" w:cs="宋体"/>
                <w:sz w:val="20"/>
                <w:szCs w:val="20"/>
              </w:rPr>
              <w:t>1</w:t>
            </w:r>
          </w:p>
        </w:tc>
        <w:tc>
          <w:tcPr>
            <w:tcW w:w="567" w:type="dxa"/>
            <w:shd w:val="clear" w:color="auto" w:fill="auto"/>
            <w:noWrap/>
            <w:vAlign w:val="center"/>
          </w:tcPr>
          <w:p w14:paraId="4CD3CAD6">
            <w:pPr>
              <w:jc w:val="center"/>
              <w:rPr>
                <w:rFonts w:hint="eastAsia" w:ascii="宋体" w:hAnsi="宋体" w:cs="宋体"/>
                <w:sz w:val="20"/>
                <w:szCs w:val="20"/>
              </w:rPr>
            </w:pPr>
            <w:r>
              <w:rPr>
                <w:rFonts w:hint="eastAsia" w:ascii="宋体" w:hAnsi="宋体" w:cs="宋体"/>
                <w:sz w:val="20"/>
                <w:szCs w:val="20"/>
              </w:rPr>
              <w:t>套</w:t>
            </w:r>
          </w:p>
        </w:tc>
        <w:tc>
          <w:tcPr>
            <w:tcW w:w="851" w:type="dxa"/>
            <w:shd w:val="clear" w:color="auto" w:fill="auto"/>
            <w:noWrap/>
            <w:vAlign w:val="center"/>
          </w:tcPr>
          <w:p w14:paraId="4FB9D43B">
            <w:pPr>
              <w:jc w:val="center"/>
              <w:rPr>
                <w:rFonts w:hint="eastAsia" w:ascii="宋体" w:hAnsi="宋体" w:cs="宋体"/>
                <w:sz w:val="20"/>
                <w:szCs w:val="20"/>
              </w:rPr>
            </w:pPr>
            <w:r>
              <w:rPr>
                <w:rFonts w:hint="eastAsia" w:ascii="宋体" w:hAnsi="宋体"/>
              </w:rPr>
              <w:t>5</w:t>
            </w:r>
          </w:p>
        </w:tc>
      </w:tr>
      <w:tr w14:paraId="5066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568" w:type="dxa"/>
            <w:shd w:val="clear" w:color="auto" w:fill="auto"/>
            <w:noWrap/>
            <w:vAlign w:val="center"/>
          </w:tcPr>
          <w:p w14:paraId="7D7F9BB0">
            <w:pPr>
              <w:jc w:val="center"/>
              <w:rPr>
                <w:rFonts w:hint="eastAsia" w:ascii="宋体" w:hAnsi="宋体" w:cs="宋体"/>
                <w:sz w:val="20"/>
                <w:szCs w:val="20"/>
              </w:rPr>
            </w:pPr>
            <w:r>
              <w:rPr>
                <w:rFonts w:hint="eastAsia" w:ascii="宋体" w:hAnsi="宋体" w:cs="宋体"/>
                <w:sz w:val="20"/>
                <w:szCs w:val="20"/>
              </w:rPr>
              <w:t>3</w:t>
            </w:r>
          </w:p>
        </w:tc>
        <w:tc>
          <w:tcPr>
            <w:tcW w:w="1134" w:type="dxa"/>
            <w:shd w:val="clear" w:color="auto" w:fill="auto"/>
            <w:noWrap w:val="0"/>
            <w:vAlign w:val="center"/>
          </w:tcPr>
          <w:p w14:paraId="0C7C36BF">
            <w:pPr>
              <w:pStyle w:val="3"/>
              <w:spacing w:before="0" w:after="0" w:line="276" w:lineRule="auto"/>
              <w:rPr>
                <w:rFonts w:hint="eastAsia" w:ascii="宋体" w:hAnsi="宋体" w:eastAsia="宋体" w:cs="宋体"/>
                <w:b w:val="0"/>
                <w:bCs w:val="0"/>
                <w:sz w:val="21"/>
                <w:szCs w:val="21"/>
              </w:rPr>
            </w:pPr>
            <w:bookmarkStart w:id="4" w:name="_Toc31180"/>
            <w:bookmarkStart w:id="5" w:name="_Toc490146298"/>
            <w:bookmarkStart w:id="6" w:name="_Toc442310401"/>
            <w:r>
              <w:rPr>
                <w:rFonts w:hint="eastAsia" w:ascii="宋体" w:hAnsi="宋体" w:eastAsia="宋体" w:cs="宋体"/>
                <w:b w:val="0"/>
                <w:bCs w:val="0"/>
                <w:sz w:val="21"/>
                <w:szCs w:val="21"/>
              </w:rPr>
              <w:t>电子报表系统</w:t>
            </w:r>
            <w:bookmarkEnd w:id="4"/>
            <w:bookmarkEnd w:id="5"/>
            <w:bookmarkEnd w:id="6"/>
          </w:p>
          <w:p w14:paraId="14B630A3">
            <w:pPr>
              <w:spacing w:line="276" w:lineRule="auto"/>
              <w:jc w:val="center"/>
              <w:rPr>
                <w:rFonts w:hint="eastAsia" w:ascii="宋体" w:hAnsi="宋体" w:cs="宋体"/>
              </w:rPr>
            </w:pPr>
          </w:p>
        </w:tc>
        <w:tc>
          <w:tcPr>
            <w:tcW w:w="5641" w:type="dxa"/>
            <w:shd w:val="clear" w:color="auto" w:fill="auto"/>
            <w:noWrap w:val="0"/>
            <w:vAlign w:val="center"/>
          </w:tcPr>
          <w:p w14:paraId="0F2172E7">
            <w:pPr>
              <w:spacing w:line="276" w:lineRule="auto"/>
              <w:ind w:firstLine="420" w:firstLineChars="200"/>
              <w:rPr>
                <w:rFonts w:hint="eastAsia" w:ascii="宋体" w:hAnsi="宋体" w:cs="宋体"/>
                <w:lang w:eastAsia="zh-CN"/>
              </w:rPr>
            </w:pPr>
            <w:r>
              <w:rPr>
                <w:rFonts w:hint="eastAsia" w:ascii="宋体" w:hAnsi="宋体" w:cs="宋体"/>
                <w:lang w:eastAsia="zh-CN"/>
              </w:rPr>
              <w:t>与账务处理系统连用，定义用户单位的报表格式，并自动生成需要的报表等。同时要求能够实现如下要求：</w:t>
            </w:r>
          </w:p>
          <w:p w14:paraId="0B17324C">
            <w:pPr>
              <w:spacing w:line="276" w:lineRule="auto"/>
              <w:ind w:firstLine="420" w:firstLineChars="200"/>
              <w:rPr>
                <w:rFonts w:hint="eastAsia" w:ascii="宋体" w:hAnsi="宋体" w:cs="宋体"/>
                <w:lang w:eastAsia="zh-CN"/>
              </w:rPr>
            </w:pPr>
            <w:r>
              <w:rPr>
                <w:rFonts w:hint="eastAsia" w:ascii="宋体" w:hAnsi="宋体" w:cs="宋体"/>
                <w:lang w:eastAsia="zh-CN"/>
              </w:rPr>
              <w:t>① 报表操作使用Excel 操作习惯，可从总账、工资、资产等系统取数；</w:t>
            </w:r>
          </w:p>
          <w:p w14:paraId="5D3BD239">
            <w:pPr>
              <w:spacing w:line="276" w:lineRule="auto"/>
              <w:ind w:firstLine="420" w:firstLineChars="200"/>
              <w:rPr>
                <w:rFonts w:hint="eastAsia" w:ascii="宋体" w:hAnsi="宋体" w:cs="宋体"/>
                <w:lang w:eastAsia="zh-CN"/>
              </w:rPr>
            </w:pPr>
            <w:r>
              <w:rPr>
                <w:rFonts w:hint="eastAsia" w:ascii="宋体" w:hAnsi="宋体" w:cs="宋体"/>
                <w:lang w:eastAsia="zh-CN"/>
              </w:rPr>
              <w:t>② 可统一设置要求的报表格式，然后直接下发给各会计核算单位使用（各单位不再需要单独设置报表格式）；</w:t>
            </w:r>
          </w:p>
          <w:p w14:paraId="24E83062">
            <w:pPr>
              <w:spacing w:line="276" w:lineRule="auto"/>
              <w:ind w:firstLine="420" w:firstLineChars="200"/>
              <w:rPr>
                <w:rFonts w:hint="eastAsia" w:ascii="宋体" w:hAnsi="宋体" w:cs="宋体"/>
                <w:lang w:eastAsia="zh-CN"/>
              </w:rPr>
            </w:pPr>
            <w:r>
              <w:rPr>
                <w:rFonts w:hint="eastAsia" w:ascii="宋体" w:hAnsi="宋体" w:cs="宋体"/>
                <w:lang w:eastAsia="zh-CN"/>
              </w:rPr>
              <w:t>③报表系统支持浮动表功能，类似“往来款项明细表”的报表，软件能够自动根据账务系统中往来相关科目核算的内容生成报表，不需要人工在报表中增加内容；</w:t>
            </w:r>
          </w:p>
          <w:p w14:paraId="7A66B8F3">
            <w:pPr>
              <w:spacing w:line="276" w:lineRule="auto"/>
              <w:ind w:firstLine="420" w:firstLineChars="200"/>
              <w:rPr>
                <w:rFonts w:hint="eastAsia" w:ascii="宋体" w:hAnsi="宋体" w:cs="宋体"/>
                <w:lang w:eastAsia="zh-CN"/>
              </w:rPr>
            </w:pPr>
            <w:r>
              <w:rPr>
                <w:rFonts w:hint="eastAsia" w:ascii="宋体" w:hAnsi="宋体" w:cs="宋体"/>
                <w:lang w:eastAsia="zh-CN"/>
              </w:rPr>
              <w:t>④报表系统中可以联查账务明细账、凭证；</w:t>
            </w:r>
          </w:p>
          <w:p w14:paraId="4BF37C01">
            <w:pPr>
              <w:spacing w:line="276" w:lineRule="auto"/>
              <w:ind w:firstLine="420" w:firstLineChars="200"/>
              <w:rPr>
                <w:rFonts w:hint="eastAsia" w:ascii="宋体" w:hAnsi="宋体" w:cs="宋体"/>
                <w:lang w:eastAsia="zh-CN"/>
              </w:rPr>
            </w:pPr>
            <w:r>
              <w:rPr>
                <w:rFonts w:hint="eastAsia" w:ascii="宋体" w:hAnsi="宋体" w:cs="宋体"/>
                <w:lang w:eastAsia="zh-CN"/>
              </w:rPr>
              <w:t>⑤电子报表系统汇总操作简单，并可根据需要定义不同的汇总方案进行汇总；</w:t>
            </w:r>
          </w:p>
          <w:p w14:paraId="6CA7CF51">
            <w:pPr>
              <w:spacing w:line="276" w:lineRule="auto"/>
              <w:ind w:firstLine="420" w:firstLineChars="200"/>
              <w:rPr>
                <w:rFonts w:hint="eastAsia" w:ascii="宋体" w:hAnsi="宋体" w:cs="宋体"/>
                <w:lang w:eastAsia="zh-CN"/>
              </w:rPr>
            </w:pPr>
            <w:r>
              <w:rPr>
                <w:rFonts w:hint="eastAsia" w:ascii="宋体" w:hAnsi="宋体" w:cs="宋体"/>
                <w:lang w:eastAsia="zh-CN"/>
              </w:rPr>
              <w:t>⑥报表可以实现批量编制、审核、打印报表；</w:t>
            </w:r>
          </w:p>
          <w:p w14:paraId="58594515">
            <w:pPr>
              <w:spacing w:line="276" w:lineRule="auto"/>
              <w:ind w:firstLine="420" w:firstLineChars="200"/>
              <w:rPr>
                <w:rFonts w:hint="eastAsia" w:ascii="宋体" w:hAnsi="宋体" w:cs="宋体"/>
                <w:lang w:eastAsia="zh-CN"/>
              </w:rPr>
            </w:pPr>
            <w:r>
              <w:rPr>
                <w:rFonts w:hint="eastAsia" w:ascii="宋体" w:hAnsi="宋体" w:cs="宋体"/>
                <w:lang w:eastAsia="zh-CN"/>
              </w:rPr>
              <w:t>⑦编制出来的报表可以导出为Excel 格式文件</w:t>
            </w:r>
          </w:p>
        </w:tc>
        <w:tc>
          <w:tcPr>
            <w:tcW w:w="567" w:type="dxa"/>
            <w:shd w:val="clear" w:color="auto" w:fill="auto"/>
            <w:noWrap/>
            <w:vAlign w:val="center"/>
          </w:tcPr>
          <w:p w14:paraId="172C195D">
            <w:pPr>
              <w:jc w:val="center"/>
              <w:rPr>
                <w:rFonts w:hint="eastAsia" w:ascii="宋体" w:hAnsi="宋体" w:cs="宋体"/>
                <w:sz w:val="20"/>
                <w:szCs w:val="20"/>
              </w:rPr>
            </w:pPr>
            <w:r>
              <w:rPr>
                <w:rFonts w:hint="eastAsia" w:ascii="宋体" w:hAnsi="宋体" w:cs="宋体"/>
                <w:sz w:val="20"/>
                <w:szCs w:val="20"/>
              </w:rPr>
              <w:t>1</w:t>
            </w:r>
          </w:p>
        </w:tc>
        <w:tc>
          <w:tcPr>
            <w:tcW w:w="567" w:type="dxa"/>
            <w:shd w:val="clear" w:color="auto" w:fill="auto"/>
            <w:noWrap/>
            <w:vAlign w:val="center"/>
          </w:tcPr>
          <w:p w14:paraId="12F92FB6">
            <w:pPr>
              <w:jc w:val="center"/>
              <w:rPr>
                <w:rFonts w:hint="eastAsia" w:ascii="宋体" w:hAnsi="宋体" w:cs="宋体"/>
                <w:sz w:val="20"/>
                <w:szCs w:val="20"/>
              </w:rPr>
            </w:pPr>
            <w:r>
              <w:rPr>
                <w:rFonts w:hint="eastAsia" w:ascii="宋体" w:hAnsi="宋体" w:cs="宋体"/>
                <w:sz w:val="20"/>
                <w:szCs w:val="20"/>
              </w:rPr>
              <w:t>套</w:t>
            </w:r>
          </w:p>
        </w:tc>
        <w:tc>
          <w:tcPr>
            <w:tcW w:w="851" w:type="dxa"/>
            <w:shd w:val="clear" w:color="auto" w:fill="auto"/>
            <w:noWrap/>
            <w:vAlign w:val="center"/>
          </w:tcPr>
          <w:p w14:paraId="3D4F493F">
            <w:pPr>
              <w:jc w:val="center"/>
              <w:rPr>
                <w:rFonts w:hint="eastAsia" w:ascii="宋体" w:hAnsi="宋体" w:cs="宋体"/>
                <w:sz w:val="20"/>
                <w:szCs w:val="20"/>
              </w:rPr>
            </w:pPr>
            <w:r>
              <w:rPr>
                <w:rFonts w:hint="eastAsia" w:ascii="宋体" w:hAnsi="宋体"/>
              </w:rPr>
              <w:t>5</w:t>
            </w:r>
          </w:p>
        </w:tc>
      </w:tr>
      <w:tr w14:paraId="25DB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568" w:type="dxa"/>
            <w:shd w:val="clear" w:color="auto" w:fill="auto"/>
            <w:noWrap/>
            <w:vAlign w:val="center"/>
          </w:tcPr>
          <w:p w14:paraId="3C87339D">
            <w:pPr>
              <w:jc w:val="center"/>
              <w:rPr>
                <w:rFonts w:hint="eastAsia" w:ascii="宋体" w:hAnsi="宋体" w:cs="宋体"/>
                <w:sz w:val="20"/>
                <w:szCs w:val="20"/>
              </w:rPr>
            </w:pPr>
            <w:r>
              <w:rPr>
                <w:rFonts w:hint="eastAsia" w:ascii="宋体" w:hAnsi="宋体" w:cs="宋体"/>
                <w:sz w:val="20"/>
                <w:szCs w:val="20"/>
              </w:rPr>
              <w:t>4</w:t>
            </w:r>
          </w:p>
        </w:tc>
        <w:tc>
          <w:tcPr>
            <w:tcW w:w="1134" w:type="dxa"/>
            <w:shd w:val="clear" w:color="auto" w:fill="auto"/>
            <w:noWrap w:val="0"/>
            <w:vAlign w:val="center"/>
          </w:tcPr>
          <w:p w14:paraId="3023F254">
            <w:pPr>
              <w:pStyle w:val="3"/>
              <w:spacing w:before="0" w:after="0" w:line="276"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预算编报</w:t>
            </w:r>
          </w:p>
        </w:tc>
        <w:tc>
          <w:tcPr>
            <w:tcW w:w="5641" w:type="dxa"/>
            <w:shd w:val="clear" w:color="auto" w:fill="auto"/>
            <w:noWrap w:val="0"/>
            <w:vAlign w:val="center"/>
          </w:tcPr>
          <w:p w14:paraId="17E6259A">
            <w:pPr>
              <w:spacing w:line="276" w:lineRule="auto"/>
              <w:rPr>
                <w:rFonts w:hint="eastAsia" w:ascii="宋体" w:hAnsi="宋体" w:cs="宋体"/>
                <w:lang w:eastAsia="zh-CN"/>
              </w:rPr>
            </w:pPr>
            <w:r>
              <w:rPr>
                <w:rFonts w:hint="eastAsia" w:ascii="宋体" w:hAnsi="宋体" w:cs="宋体"/>
                <w:lang w:eastAsia="zh-CN"/>
              </w:rPr>
              <w:t>系统是针对高校推行预算编制常态化管理的应用系统。高校根据工作实际业务计划动态化建立预算项目数据库，在每年财政部门预算编制前通过本系统进行预算申报，并予以沟通、确认，由财务部门最终形成财政年度部门预算“一上”编制信息，实现预算编制常态化。同时支持校内预算n上n下模式，完成对高校收入、支出预算（多个维度）的编制。主要能够实现以下功能：</w:t>
            </w:r>
          </w:p>
          <w:p w14:paraId="15C0856E">
            <w:pPr>
              <w:spacing w:line="276" w:lineRule="auto"/>
              <w:rPr>
                <w:rFonts w:hint="eastAsia" w:ascii="宋体" w:hAnsi="宋体" w:cs="宋体"/>
                <w:lang w:eastAsia="zh-CN"/>
              </w:rPr>
            </w:pPr>
            <w:r>
              <w:rPr>
                <w:rFonts w:hint="eastAsia" w:ascii="宋体" w:hAnsi="宋体" w:cs="宋体"/>
                <w:lang w:eastAsia="zh-CN"/>
              </w:rPr>
              <w:t>预算编报流程可以“自上而下”和”自下而上”编预算，这样对部门下控制数时，就可以让各处室和主管部门共同参与预算的编制。各部门根据控制数编制预算，细化预算，上报预算，几上几下的调整与审批，相互协同、共同完成预算的编制；</w:t>
            </w:r>
          </w:p>
          <w:p w14:paraId="52A4ACF6">
            <w:pPr>
              <w:spacing w:line="276" w:lineRule="auto"/>
              <w:rPr>
                <w:rFonts w:hint="eastAsia" w:ascii="宋体" w:hAnsi="宋体" w:cs="宋体"/>
                <w:lang w:eastAsia="zh-CN"/>
              </w:rPr>
            </w:pPr>
            <w:r>
              <w:rPr>
                <w:rFonts w:hint="eastAsia" w:ascii="宋体" w:hAnsi="宋体" w:cs="宋体"/>
                <w:lang w:eastAsia="zh-CN"/>
              </w:rPr>
              <w:t>将预算数的每个数据来源都体现的清清楚楚，方便每种费用的明细预算都能够管理，在执行预算时也提供一个依据；</w:t>
            </w:r>
          </w:p>
          <w:p w14:paraId="6664AE67">
            <w:pPr>
              <w:spacing w:line="276" w:lineRule="auto"/>
              <w:rPr>
                <w:rFonts w:hint="eastAsia" w:ascii="宋体" w:hAnsi="宋体" w:cs="宋体"/>
                <w:lang w:eastAsia="zh-CN"/>
              </w:rPr>
            </w:pPr>
            <w:r>
              <w:rPr>
                <w:rFonts w:hint="eastAsia" w:ascii="宋体" w:hAnsi="宋体" w:cs="宋体"/>
                <w:lang w:eastAsia="zh-CN"/>
              </w:rPr>
              <w:t>能够提供财政厅的部门预算数据，体现财政预算和校内预算的差额，方便高校根据差额在执行的时候再进行相应的调整；</w:t>
            </w:r>
          </w:p>
          <w:p w14:paraId="6F92D2C8">
            <w:pPr>
              <w:spacing w:line="276" w:lineRule="auto"/>
              <w:rPr>
                <w:rFonts w:hint="eastAsia" w:ascii="宋体" w:hAnsi="宋体" w:cs="宋体"/>
                <w:lang w:eastAsia="zh-CN"/>
              </w:rPr>
            </w:pPr>
            <w:r>
              <w:rPr>
                <w:rFonts w:hint="eastAsia" w:ascii="宋体" w:hAnsi="宋体" w:cs="宋体"/>
                <w:lang w:eastAsia="zh-CN"/>
              </w:rPr>
              <w:t>输出层各报表自动取数，财务处工作量大大的减少，提高工作效率；</w:t>
            </w:r>
          </w:p>
          <w:p w14:paraId="6B38851D">
            <w:pPr>
              <w:spacing w:line="276" w:lineRule="auto"/>
              <w:rPr>
                <w:rFonts w:hint="eastAsia" w:ascii="宋体" w:hAnsi="宋体" w:cs="宋体"/>
                <w:lang w:eastAsia="zh-CN"/>
              </w:rPr>
            </w:pPr>
            <w:r>
              <w:rPr>
                <w:rFonts w:hint="eastAsia" w:ascii="宋体" w:hAnsi="宋体" w:cs="宋体"/>
                <w:lang w:eastAsia="zh-CN"/>
              </w:rPr>
              <w:t>各个项目都有控制数进行控制，防止部门上报预算时的多报以及报错的现象。</w:t>
            </w:r>
          </w:p>
        </w:tc>
        <w:tc>
          <w:tcPr>
            <w:tcW w:w="567" w:type="dxa"/>
            <w:shd w:val="clear" w:color="auto" w:fill="auto"/>
            <w:noWrap/>
            <w:vAlign w:val="center"/>
          </w:tcPr>
          <w:p w14:paraId="610A6672">
            <w:pPr>
              <w:jc w:val="center"/>
              <w:rPr>
                <w:rFonts w:hint="eastAsia" w:ascii="宋体" w:hAnsi="宋体" w:cs="宋体"/>
                <w:sz w:val="20"/>
                <w:szCs w:val="20"/>
              </w:rPr>
            </w:pPr>
            <w:r>
              <w:rPr>
                <w:rFonts w:hint="eastAsia" w:ascii="宋体" w:hAnsi="宋体" w:cs="宋体"/>
                <w:sz w:val="20"/>
                <w:szCs w:val="20"/>
              </w:rPr>
              <w:t>1</w:t>
            </w:r>
          </w:p>
        </w:tc>
        <w:tc>
          <w:tcPr>
            <w:tcW w:w="567" w:type="dxa"/>
            <w:shd w:val="clear" w:color="auto" w:fill="auto"/>
            <w:noWrap/>
            <w:vAlign w:val="center"/>
          </w:tcPr>
          <w:p w14:paraId="77FE3CA1">
            <w:pPr>
              <w:jc w:val="center"/>
              <w:rPr>
                <w:rFonts w:hint="eastAsia" w:ascii="宋体" w:hAnsi="宋体" w:cs="宋体"/>
                <w:sz w:val="20"/>
                <w:szCs w:val="20"/>
              </w:rPr>
            </w:pPr>
            <w:r>
              <w:rPr>
                <w:rFonts w:hint="eastAsia" w:ascii="宋体" w:hAnsi="宋体" w:cs="宋体"/>
                <w:sz w:val="20"/>
                <w:szCs w:val="20"/>
              </w:rPr>
              <w:t>套</w:t>
            </w:r>
          </w:p>
        </w:tc>
        <w:tc>
          <w:tcPr>
            <w:tcW w:w="851" w:type="dxa"/>
            <w:shd w:val="clear" w:color="auto" w:fill="auto"/>
            <w:noWrap/>
            <w:vAlign w:val="center"/>
          </w:tcPr>
          <w:p w14:paraId="02385057">
            <w:pPr>
              <w:jc w:val="center"/>
              <w:rPr>
                <w:rFonts w:hint="eastAsia" w:ascii="宋体" w:hAnsi="宋体"/>
              </w:rPr>
            </w:pPr>
            <w:r>
              <w:rPr>
                <w:rFonts w:hint="eastAsia" w:ascii="宋体" w:hAnsi="宋体"/>
              </w:rPr>
              <w:t>50</w:t>
            </w:r>
          </w:p>
        </w:tc>
      </w:tr>
      <w:tr w14:paraId="5908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568" w:type="dxa"/>
            <w:shd w:val="clear" w:color="auto" w:fill="auto"/>
            <w:noWrap/>
            <w:vAlign w:val="center"/>
          </w:tcPr>
          <w:p w14:paraId="032A0B0D">
            <w:pPr>
              <w:spacing w:line="276" w:lineRule="auto"/>
              <w:rPr>
                <w:rFonts w:hint="eastAsia" w:ascii="宋体" w:hAnsi="宋体" w:cs="宋体"/>
                <w:color w:val="auto"/>
                <w:highlight w:val="none"/>
              </w:rPr>
            </w:pPr>
            <w:r>
              <w:rPr>
                <w:rFonts w:hint="eastAsia" w:ascii="宋体" w:hAnsi="宋体" w:cs="宋体"/>
                <w:color w:val="auto"/>
                <w:highlight w:val="none"/>
              </w:rPr>
              <w:t>5</w:t>
            </w:r>
          </w:p>
        </w:tc>
        <w:tc>
          <w:tcPr>
            <w:tcW w:w="1134" w:type="dxa"/>
            <w:shd w:val="clear" w:color="auto" w:fill="auto"/>
            <w:noWrap w:val="0"/>
            <w:vAlign w:val="center"/>
          </w:tcPr>
          <w:p w14:paraId="2AF82469">
            <w:pPr>
              <w:spacing w:line="276" w:lineRule="auto"/>
              <w:rPr>
                <w:rFonts w:hint="eastAsia" w:ascii="宋体" w:hAnsi="宋体" w:cs="宋体"/>
                <w:color w:val="auto"/>
                <w:highlight w:val="none"/>
              </w:rPr>
            </w:pPr>
            <w:r>
              <w:rPr>
                <w:rFonts w:hint="eastAsia" w:ascii="宋体" w:hAnsi="宋体" w:cs="宋体"/>
                <w:color w:val="auto"/>
                <w:highlight w:val="none"/>
              </w:rPr>
              <w:t>指标管理</w:t>
            </w:r>
          </w:p>
        </w:tc>
        <w:tc>
          <w:tcPr>
            <w:tcW w:w="5641" w:type="dxa"/>
            <w:shd w:val="clear" w:color="auto" w:fill="auto"/>
            <w:noWrap w:val="0"/>
            <w:vAlign w:val="center"/>
          </w:tcPr>
          <w:p w14:paraId="097EAC67">
            <w:pPr>
              <w:spacing w:line="276" w:lineRule="auto"/>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指标管理系统是实现预算精细化管理的核心模块，支持将预算编报系统最终审批的预算数据信息根据精细化指标管理方案，生成明细指标，实现预算指标的自动编制。同时与支出执行的相关模块或账务处理系统联用进行预算控制，最终形成一本完整的预算指标账，并对预算执行情况进行统计与比对分析。具体能够实现以下功能：</w:t>
            </w:r>
          </w:p>
          <w:p w14:paraId="1C03B473">
            <w:pPr>
              <w:spacing w:line="276" w:lineRule="auto"/>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①要能够实现对正式下达的可用指标进行分级管理；</w:t>
            </w:r>
          </w:p>
          <w:p w14:paraId="4F4A27DF">
            <w:pPr>
              <w:spacing w:line="276" w:lineRule="auto"/>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② 要能够实现对指标进行分解、新增、追加、追减、调整、调剂、冻结与结转；</w:t>
            </w:r>
          </w:p>
          <w:p w14:paraId="231FA758">
            <w:pPr>
              <w:spacing w:line="276" w:lineRule="auto"/>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③ 要能够形成指标台账，对指标执行过程、指标执行比例的查询等；</w:t>
            </w:r>
          </w:p>
          <w:p w14:paraId="06B87237">
            <w:pPr>
              <w:spacing w:line="276" w:lineRule="auto"/>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④要能够支持通过指标预算管控，可灵活调整指标；</w:t>
            </w:r>
          </w:p>
          <w:p w14:paraId="20FD1E96">
            <w:pPr>
              <w:spacing w:line="276" w:lineRule="auto"/>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⑤系统里的各项预算指标必须与账务处理等系统进行无缝衔接控制。</w:t>
            </w:r>
          </w:p>
        </w:tc>
        <w:tc>
          <w:tcPr>
            <w:tcW w:w="567" w:type="dxa"/>
            <w:shd w:val="clear" w:color="auto" w:fill="auto"/>
            <w:noWrap/>
            <w:vAlign w:val="center"/>
          </w:tcPr>
          <w:p w14:paraId="11F55598">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1</w:t>
            </w:r>
          </w:p>
        </w:tc>
        <w:tc>
          <w:tcPr>
            <w:tcW w:w="567" w:type="dxa"/>
            <w:shd w:val="clear" w:color="auto" w:fill="auto"/>
            <w:noWrap/>
            <w:vAlign w:val="center"/>
          </w:tcPr>
          <w:p w14:paraId="7D3AD830">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套</w:t>
            </w:r>
          </w:p>
        </w:tc>
        <w:tc>
          <w:tcPr>
            <w:tcW w:w="851" w:type="dxa"/>
            <w:shd w:val="clear" w:color="auto" w:fill="auto"/>
            <w:noWrap/>
            <w:vAlign w:val="center"/>
          </w:tcPr>
          <w:p w14:paraId="4C1971AD">
            <w:pPr>
              <w:jc w:val="center"/>
              <w:rPr>
                <w:rFonts w:hint="eastAsia" w:ascii="宋体" w:hAnsi="宋体" w:cs="宋体"/>
                <w:color w:val="auto"/>
                <w:sz w:val="20"/>
                <w:szCs w:val="20"/>
                <w:highlight w:val="none"/>
              </w:rPr>
            </w:pPr>
            <w:r>
              <w:rPr>
                <w:rFonts w:hint="eastAsia" w:ascii="宋体" w:hAnsi="宋体"/>
                <w:color w:val="auto"/>
                <w:highlight w:val="none"/>
              </w:rPr>
              <w:t>50</w:t>
            </w:r>
          </w:p>
        </w:tc>
      </w:tr>
      <w:tr w14:paraId="6F8C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568" w:type="dxa"/>
            <w:shd w:val="clear" w:color="auto" w:fill="auto"/>
            <w:noWrap/>
            <w:vAlign w:val="center"/>
          </w:tcPr>
          <w:p w14:paraId="21D85394">
            <w:pPr>
              <w:spacing w:line="276" w:lineRule="auto"/>
              <w:rPr>
                <w:rFonts w:hint="eastAsia" w:ascii="宋体" w:hAnsi="宋体" w:cs="宋体"/>
                <w:color w:val="auto"/>
                <w:highlight w:val="none"/>
              </w:rPr>
            </w:pPr>
            <w:r>
              <w:rPr>
                <w:rFonts w:hint="eastAsia" w:ascii="宋体" w:hAnsi="宋体" w:cs="宋体"/>
                <w:color w:val="auto"/>
                <w:highlight w:val="none"/>
              </w:rPr>
              <w:t>6</w:t>
            </w:r>
          </w:p>
        </w:tc>
        <w:tc>
          <w:tcPr>
            <w:tcW w:w="1134" w:type="dxa"/>
            <w:shd w:val="clear" w:color="auto" w:fill="auto"/>
            <w:noWrap w:val="0"/>
            <w:vAlign w:val="center"/>
          </w:tcPr>
          <w:p w14:paraId="14CB3FE7">
            <w:pPr>
              <w:spacing w:line="276" w:lineRule="auto"/>
              <w:rPr>
                <w:rFonts w:hint="eastAsia" w:ascii="宋体" w:hAnsi="宋体" w:cs="宋体"/>
                <w:color w:val="auto"/>
                <w:highlight w:val="none"/>
              </w:rPr>
            </w:pPr>
            <w:r>
              <w:rPr>
                <w:rFonts w:hint="eastAsia" w:ascii="宋体" w:hAnsi="宋体" w:cs="宋体"/>
                <w:color w:val="auto"/>
                <w:highlight w:val="none"/>
              </w:rPr>
              <w:t>网上报销</w:t>
            </w:r>
          </w:p>
        </w:tc>
        <w:tc>
          <w:tcPr>
            <w:tcW w:w="5641" w:type="dxa"/>
            <w:shd w:val="clear" w:color="auto" w:fill="auto"/>
            <w:noWrap w:val="0"/>
            <w:vAlign w:val="center"/>
          </w:tcPr>
          <w:p w14:paraId="169AC5FB">
            <w:pPr>
              <w:spacing w:line="276" w:lineRule="auto"/>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网上报销系统提供报销服务和预算扣减服务，包含网上借款、报销等单据填报与审核（批）、预约现场单据的提验办理等，支持与账务、出纳、网银支付等系统无缝集成连用，可根据需要灵活进行报销、审核（批）流程定制，实现内控规范管理，并账务、出纳等系统实现数据信息的流程化自动传递，大量减轻会计人员录入工作量，同时还可以避免财务人员录入的错误。</w:t>
            </w:r>
          </w:p>
        </w:tc>
        <w:tc>
          <w:tcPr>
            <w:tcW w:w="567" w:type="dxa"/>
            <w:shd w:val="clear" w:color="auto" w:fill="auto"/>
            <w:noWrap/>
            <w:vAlign w:val="center"/>
          </w:tcPr>
          <w:p w14:paraId="230A3C42">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1</w:t>
            </w:r>
          </w:p>
        </w:tc>
        <w:tc>
          <w:tcPr>
            <w:tcW w:w="567" w:type="dxa"/>
            <w:shd w:val="clear" w:color="auto" w:fill="auto"/>
            <w:noWrap/>
            <w:vAlign w:val="center"/>
          </w:tcPr>
          <w:p w14:paraId="65F77480">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套</w:t>
            </w:r>
          </w:p>
        </w:tc>
        <w:tc>
          <w:tcPr>
            <w:tcW w:w="851" w:type="dxa"/>
            <w:shd w:val="clear" w:color="auto" w:fill="auto"/>
            <w:noWrap/>
            <w:vAlign w:val="center"/>
          </w:tcPr>
          <w:p w14:paraId="606622BC">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100</w:t>
            </w:r>
          </w:p>
        </w:tc>
      </w:tr>
      <w:tr w14:paraId="456B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568" w:type="dxa"/>
            <w:shd w:val="clear" w:color="auto" w:fill="auto"/>
            <w:noWrap/>
            <w:vAlign w:val="center"/>
          </w:tcPr>
          <w:p w14:paraId="0A80EBDC">
            <w:pPr>
              <w:spacing w:line="276" w:lineRule="auto"/>
              <w:rPr>
                <w:rFonts w:hint="eastAsia" w:ascii="宋体" w:hAnsi="宋体" w:cs="宋体"/>
                <w:color w:val="auto"/>
                <w:highlight w:val="none"/>
              </w:rPr>
            </w:pPr>
            <w:r>
              <w:rPr>
                <w:rFonts w:hint="eastAsia" w:ascii="宋体" w:hAnsi="宋体" w:cs="宋体"/>
                <w:color w:val="auto"/>
                <w:highlight w:val="none"/>
              </w:rPr>
              <w:t>7</w:t>
            </w:r>
          </w:p>
        </w:tc>
        <w:tc>
          <w:tcPr>
            <w:tcW w:w="1134" w:type="dxa"/>
            <w:shd w:val="clear" w:color="auto" w:fill="auto"/>
            <w:noWrap w:val="0"/>
            <w:vAlign w:val="center"/>
          </w:tcPr>
          <w:p w14:paraId="74BE7909">
            <w:pPr>
              <w:spacing w:line="276" w:lineRule="auto"/>
              <w:ind w:firstLine="420" w:firstLineChars="200"/>
              <w:rPr>
                <w:rFonts w:hint="eastAsia" w:ascii="宋体" w:hAnsi="宋体" w:cs="宋体"/>
                <w:color w:val="auto"/>
                <w:highlight w:val="none"/>
              </w:rPr>
            </w:pPr>
            <w:r>
              <w:rPr>
                <w:rFonts w:hint="eastAsia" w:ascii="宋体" w:hAnsi="宋体" w:cs="宋体"/>
                <w:color w:val="auto"/>
                <w:highlight w:val="none"/>
              </w:rPr>
              <w:t>微信基础平台</w:t>
            </w:r>
          </w:p>
          <w:p w14:paraId="30279D13">
            <w:pPr>
              <w:spacing w:line="276" w:lineRule="auto"/>
              <w:ind w:firstLine="420" w:firstLineChars="200"/>
              <w:rPr>
                <w:rFonts w:hint="eastAsia" w:ascii="宋体" w:hAnsi="宋体" w:cs="宋体"/>
                <w:color w:val="auto"/>
                <w:highlight w:val="none"/>
              </w:rPr>
            </w:pPr>
          </w:p>
        </w:tc>
        <w:tc>
          <w:tcPr>
            <w:tcW w:w="5641" w:type="dxa"/>
            <w:shd w:val="clear" w:color="auto" w:fill="auto"/>
            <w:noWrap w:val="0"/>
            <w:vAlign w:val="center"/>
          </w:tcPr>
          <w:p w14:paraId="3044CC80">
            <w:pPr>
              <w:spacing w:line="276" w:lineRule="auto"/>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平台作为高校管理软件在移动端的拓展功能，实现与微信服务号、企业微信的集成，提供统一登录入口、单点登录接口。平台包含报销管理、工资管理、其他收入管理、部门经费查询四个模块，支持全部开启或开启部分模块。</w:t>
            </w:r>
          </w:p>
          <w:p w14:paraId="1FF4A9B4">
            <w:pPr>
              <w:spacing w:line="276" w:lineRule="auto"/>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缴费平台可集成微信服务号、企业微信、智慧校园移动端。教职工只需关注服务号，即可进行相关业务查询、办理。</w:t>
            </w:r>
          </w:p>
          <w:p w14:paraId="0D06780D">
            <w:pPr>
              <w:spacing w:line="276" w:lineRule="auto"/>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系统支持多帐套多年度切换，与高校管理软件数据库共享。</w:t>
            </w:r>
          </w:p>
        </w:tc>
        <w:tc>
          <w:tcPr>
            <w:tcW w:w="567" w:type="dxa"/>
            <w:shd w:val="clear" w:color="auto" w:fill="auto"/>
            <w:noWrap/>
            <w:vAlign w:val="center"/>
          </w:tcPr>
          <w:p w14:paraId="7F61C82D">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1</w:t>
            </w:r>
          </w:p>
        </w:tc>
        <w:tc>
          <w:tcPr>
            <w:tcW w:w="567" w:type="dxa"/>
            <w:shd w:val="clear" w:color="auto" w:fill="auto"/>
            <w:noWrap/>
            <w:vAlign w:val="center"/>
          </w:tcPr>
          <w:p w14:paraId="2AC9288F">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套</w:t>
            </w:r>
          </w:p>
        </w:tc>
        <w:tc>
          <w:tcPr>
            <w:tcW w:w="851" w:type="dxa"/>
            <w:shd w:val="clear" w:color="auto" w:fill="auto"/>
            <w:noWrap/>
            <w:vAlign w:val="center"/>
          </w:tcPr>
          <w:p w14:paraId="70DB0E4C">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不限</w:t>
            </w:r>
          </w:p>
        </w:tc>
      </w:tr>
      <w:tr w14:paraId="322A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568" w:type="dxa"/>
            <w:shd w:val="clear" w:color="auto" w:fill="auto"/>
            <w:noWrap/>
            <w:vAlign w:val="center"/>
          </w:tcPr>
          <w:p w14:paraId="51D702CE">
            <w:pPr>
              <w:spacing w:line="276" w:lineRule="auto"/>
              <w:rPr>
                <w:rFonts w:hint="eastAsia" w:ascii="宋体" w:hAnsi="宋体" w:cs="宋体"/>
                <w:color w:val="auto"/>
                <w:highlight w:val="none"/>
              </w:rPr>
            </w:pPr>
            <w:r>
              <w:rPr>
                <w:rFonts w:hint="eastAsia" w:ascii="宋体" w:hAnsi="宋体" w:cs="宋体"/>
                <w:color w:val="auto"/>
                <w:highlight w:val="none"/>
              </w:rPr>
              <w:t>8</w:t>
            </w:r>
          </w:p>
        </w:tc>
        <w:tc>
          <w:tcPr>
            <w:tcW w:w="1134" w:type="dxa"/>
            <w:shd w:val="clear" w:color="auto" w:fill="auto"/>
            <w:noWrap w:val="0"/>
            <w:vAlign w:val="center"/>
          </w:tcPr>
          <w:p w14:paraId="058632B4">
            <w:pPr>
              <w:spacing w:line="276" w:lineRule="auto"/>
              <w:ind w:firstLine="420" w:firstLineChars="200"/>
              <w:rPr>
                <w:rFonts w:hint="eastAsia" w:ascii="宋体" w:hAnsi="宋体" w:cs="宋体"/>
                <w:color w:val="auto"/>
                <w:highlight w:val="none"/>
              </w:rPr>
            </w:pPr>
            <w:r>
              <w:rPr>
                <w:rFonts w:hint="eastAsia" w:ascii="宋体" w:hAnsi="宋体" w:cs="宋体"/>
                <w:color w:val="auto"/>
                <w:highlight w:val="none"/>
              </w:rPr>
              <w:t>微信报销审批</w:t>
            </w:r>
          </w:p>
        </w:tc>
        <w:tc>
          <w:tcPr>
            <w:tcW w:w="5641" w:type="dxa"/>
            <w:shd w:val="clear" w:color="auto" w:fill="auto"/>
            <w:noWrap w:val="0"/>
            <w:vAlign w:val="center"/>
          </w:tcPr>
          <w:p w14:paraId="10D0FD02">
            <w:pPr>
              <w:spacing w:line="276" w:lineRule="auto"/>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报销审批模块提供所有报销单和其他收入单的查看和审核功能，手机端界面将单据按照审核状态划分为待审核和已审核单据，审核人可查看单据的报销基础信息、报销明细、预算指标、结算方式等详细信息、当前审批流程进度、审批日志、图片附件快速浏览等功能。并支持手机端直接审核单据和销审单据，审核结果包括通过、退回上一步、退回编制人，审核时支持输入审核意见，审核完成后可通知下一岗人员审核，通知信息可与企业微信、钉钉集成，提升审核效率。报销审批模块同时提供了单据查询功能，便于教职工查询自己提交的单据，方便移动端使用。</w:t>
            </w:r>
          </w:p>
        </w:tc>
        <w:tc>
          <w:tcPr>
            <w:tcW w:w="567" w:type="dxa"/>
            <w:shd w:val="clear" w:color="auto" w:fill="auto"/>
            <w:noWrap/>
            <w:vAlign w:val="center"/>
          </w:tcPr>
          <w:p w14:paraId="4A32575D">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1</w:t>
            </w:r>
          </w:p>
        </w:tc>
        <w:tc>
          <w:tcPr>
            <w:tcW w:w="567" w:type="dxa"/>
            <w:shd w:val="clear" w:color="auto" w:fill="auto"/>
            <w:noWrap/>
            <w:vAlign w:val="center"/>
          </w:tcPr>
          <w:p w14:paraId="09811A32">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套</w:t>
            </w:r>
          </w:p>
        </w:tc>
        <w:tc>
          <w:tcPr>
            <w:tcW w:w="851" w:type="dxa"/>
            <w:shd w:val="clear" w:color="auto" w:fill="auto"/>
            <w:noWrap/>
            <w:vAlign w:val="center"/>
          </w:tcPr>
          <w:p w14:paraId="358FE0A7">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不限</w:t>
            </w:r>
          </w:p>
        </w:tc>
      </w:tr>
      <w:tr w14:paraId="56FEA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568" w:type="dxa"/>
            <w:shd w:val="clear" w:color="auto" w:fill="auto"/>
            <w:noWrap/>
            <w:vAlign w:val="center"/>
          </w:tcPr>
          <w:p w14:paraId="35A45E3C">
            <w:pPr>
              <w:spacing w:line="276" w:lineRule="auto"/>
              <w:rPr>
                <w:rFonts w:hint="eastAsia" w:ascii="宋体" w:hAnsi="宋体" w:cs="宋体"/>
                <w:highlight w:val="none"/>
              </w:rPr>
            </w:pPr>
            <w:r>
              <w:rPr>
                <w:rFonts w:hint="eastAsia" w:ascii="宋体" w:hAnsi="宋体" w:cs="宋体"/>
                <w:highlight w:val="none"/>
              </w:rPr>
              <w:t>9</w:t>
            </w:r>
          </w:p>
        </w:tc>
        <w:tc>
          <w:tcPr>
            <w:tcW w:w="1134" w:type="dxa"/>
            <w:shd w:val="clear" w:color="auto" w:fill="auto"/>
            <w:noWrap w:val="0"/>
            <w:vAlign w:val="center"/>
          </w:tcPr>
          <w:p w14:paraId="4D5501FC">
            <w:pPr>
              <w:spacing w:line="276" w:lineRule="auto"/>
              <w:ind w:firstLine="420" w:firstLineChars="200"/>
              <w:rPr>
                <w:rFonts w:hint="eastAsia" w:ascii="宋体" w:hAnsi="宋体" w:cs="宋体"/>
                <w:highlight w:val="none"/>
              </w:rPr>
            </w:pPr>
            <w:r>
              <w:rPr>
                <w:rFonts w:hint="eastAsia" w:ascii="宋体" w:hAnsi="宋体" w:cs="宋体"/>
                <w:highlight w:val="none"/>
              </w:rPr>
              <w:t>微信经费查询</w:t>
            </w:r>
          </w:p>
        </w:tc>
        <w:tc>
          <w:tcPr>
            <w:tcW w:w="5641" w:type="dxa"/>
            <w:shd w:val="clear" w:color="auto" w:fill="auto"/>
            <w:noWrap w:val="0"/>
            <w:vAlign w:val="center"/>
          </w:tcPr>
          <w:p w14:paraId="2391B207">
            <w:pPr>
              <w:spacing w:line="276" w:lineRule="auto"/>
              <w:ind w:firstLine="420" w:firstLineChars="200"/>
              <w:rPr>
                <w:rFonts w:hint="eastAsia" w:ascii="宋体" w:hAnsi="宋体" w:cs="宋体"/>
                <w:highlight w:val="none"/>
                <w:lang w:eastAsia="zh-CN"/>
              </w:rPr>
            </w:pPr>
            <w:r>
              <w:rPr>
                <w:rFonts w:hint="eastAsia" w:ascii="宋体" w:hAnsi="宋体" w:cs="宋体"/>
                <w:highlight w:val="none"/>
                <w:lang w:eastAsia="zh-CN"/>
              </w:rPr>
              <w:t>部门经费查询可查看教职工本部门经费情况，可根据授权设置查询其他部门经费情况，授权部门与PC版授权设置同步，无授权无法查看经费。查询支持按截止日期查询，按指标项顺序显示，指标明细包含期初、在途、余额、使用、完成率等信息，支持数据钻取， 查看各指标项使用关联的单据信息，方便实时监控指标占用情况。</w:t>
            </w:r>
          </w:p>
        </w:tc>
        <w:tc>
          <w:tcPr>
            <w:tcW w:w="567" w:type="dxa"/>
            <w:shd w:val="clear" w:color="auto" w:fill="auto"/>
            <w:noWrap/>
            <w:vAlign w:val="center"/>
          </w:tcPr>
          <w:p w14:paraId="436A89DF">
            <w:pPr>
              <w:jc w:val="center"/>
              <w:rPr>
                <w:rFonts w:hint="eastAsia" w:ascii="宋体" w:hAnsi="宋体" w:cs="宋体"/>
                <w:sz w:val="20"/>
                <w:szCs w:val="20"/>
                <w:highlight w:val="none"/>
              </w:rPr>
            </w:pPr>
            <w:r>
              <w:rPr>
                <w:rFonts w:hint="eastAsia" w:ascii="宋体" w:hAnsi="宋体" w:cs="宋体"/>
                <w:sz w:val="20"/>
                <w:szCs w:val="20"/>
                <w:highlight w:val="none"/>
              </w:rPr>
              <w:t>1</w:t>
            </w:r>
          </w:p>
        </w:tc>
        <w:tc>
          <w:tcPr>
            <w:tcW w:w="567" w:type="dxa"/>
            <w:shd w:val="clear" w:color="auto" w:fill="auto"/>
            <w:noWrap/>
            <w:vAlign w:val="center"/>
          </w:tcPr>
          <w:p w14:paraId="6BF22006">
            <w:pPr>
              <w:jc w:val="center"/>
              <w:rPr>
                <w:rFonts w:hint="eastAsia" w:ascii="宋体" w:hAnsi="宋体" w:cs="宋体"/>
                <w:sz w:val="20"/>
                <w:szCs w:val="20"/>
                <w:highlight w:val="none"/>
              </w:rPr>
            </w:pPr>
            <w:r>
              <w:rPr>
                <w:rFonts w:hint="eastAsia" w:ascii="宋体" w:hAnsi="宋体" w:cs="宋体"/>
                <w:sz w:val="20"/>
                <w:szCs w:val="20"/>
                <w:highlight w:val="none"/>
              </w:rPr>
              <w:t>套</w:t>
            </w:r>
          </w:p>
        </w:tc>
        <w:tc>
          <w:tcPr>
            <w:tcW w:w="851" w:type="dxa"/>
            <w:shd w:val="clear" w:color="auto" w:fill="auto"/>
            <w:noWrap/>
            <w:vAlign w:val="center"/>
          </w:tcPr>
          <w:p w14:paraId="74FE08C4">
            <w:pPr>
              <w:jc w:val="center"/>
              <w:rPr>
                <w:rFonts w:hint="eastAsia" w:ascii="宋体" w:hAnsi="宋体" w:cs="宋体"/>
                <w:sz w:val="20"/>
                <w:szCs w:val="20"/>
                <w:highlight w:val="none"/>
              </w:rPr>
            </w:pPr>
            <w:r>
              <w:rPr>
                <w:rFonts w:hint="eastAsia" w:ascii="宋体" w:hAnsi="宋体" w:cs="宋体"/>
                <w:sz w:val="20"/>
                <w:szCs w:val="20"/>
                <w:highlight w:val="none"/>
              </w:rPr>
              <w:t>不限</w:t>
            </w:r>
          </w:p>
        </w:tc>
      </w:tr>
      <w:tr w14:paraId="6E7D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568" w:type="dxa"/>
            <w:shd w:val="clear" w:color="auto" w:fill="auto"/>
            <w:noWrap/>
            <w:vAlign w:val="center"/>
          </w:tcPr>
          <w:p w14:paraId="30A8F81E">
            <w:pPr>
              <w:spacing w:line="276" w:lineRule="auto"/>
              <w:rPr>
                <w:rFonts w:hint="eastAsia" w:ascii="宋体" w:hAnsi="宋体" w:cs="宋体"/>
                <w:highlight w:val="none"/>
              </w:rPr>
            </w:pPr>
            <w:r>
              <w:rPr>
                <w:rFonts w:hint="eastAsia" w:ascii="宋体" w:hAnsi="宋体" w:cs="宋体"/>
                <w:highlight w:val="none"/>
              </w:rPr>
              <w:t>10</w:t>
            </w:r>
          </w:p>
        </w:tc>
        <w:tc>
          <w:tcPr>
            <w:tcW w:w="1134" w:type="dxa"/>
            <w:shd w:val="clear" w:color="auto" w:fill="auto"/>
            <w:noWrap w:val="0"/>
            <w:vAlign w:val="center"/>
          </w:tcPr>
          <w:p w14:paraId="64046C82">
            <w:pPr>
              <w:spacing w:line="276" w:lineRule="auto"/>
              <w:rPr>
                <w:rFonts w:hint="eastAsia" w:ascii="宋体" w:hAnsi="宋体" w:cs="宋体"/>
                <w:highlight w:val="none"/>
              </w:rPr>
            </w:pPr>
            <w:r>
              <w:rPr>
                <w:rFonts w:hint="eastAsia" w:ascii="宋体" w:hAnsi="宋体" w:cs="黑体"/>
                <w:highlight w:val="none"/>
              </w:rPr>
              <w:t>票据管理平台</w:t>
            </w:r>
          </w:p>
        </w:tc>
        <w:tc>
          <w:tcPr>
            <w:tcW w:w="5641" w:type="dxa"/>
            <w:shd w:val="clear" w:color="auto" w:fill="auto"/>
            <w:noWrap w:val="0"/>
            <w:vAlign w:val="top"/>
          </w:tcPr>
          <w:p w14:paraId="114BDCEC">
            <w:pPr>
              <w:spacing w:line="276" w:lineRule="auto"/>
              <w:ind w:firstLine="420" w:firstLineChars="200"/>
              <w:rPr>
                <w:rFonts w:hint="eastAsia" w:ascii="宋体" w:hAnsi="宋体" w:cs="宋体"/>
                <w:highlight w:val="none"/>
                <w:lang w:eastAsia="zh-CN"/>
              </w:rPr>
            </w:pPr>
            <w:r>
              <w:rPr>
                <w:rFonts w:hint="eastAsia" w:ascii="宋体" w:hAnsi="宋体" w:cs="宋体"/>
                <w:highlight w:val="none"/>
                <w:lang w:eastAsia="zh-CN"/>
              </w:rPr>
              <w:t>在电子票据夹中可通过拍照上传、本地文件上传、手工录入等多种方式将票据归集入系统进行管理。进入到电子票据夹的票据支持票据验重和验真，可在账务系统、网上报销系统中使用票据夹中的票据。</w:t>
            </w:r>
          </w:p>
        </w:tc>
        <w:tc>
          <w:tcPr>
            <w:tcW w:w="567" w:type="dxa"/>
            <w:shd w:val="clear" w:color="auto" w:fill="auto"/>
            <w:noWrap/>
            <w:vAlign w:val="center"/>
          </w:tcPr>
          <w:p w14:paraId="1DB0647A">
            <w:pPr>
              <w:jc w:val="center"/>
              <w:rPr>
                <w:rFonts w:hint="eastAsia" w:ascii="宋体" w:hAnsi="宋体" w:cs="宋体"/>
                <w:sz w:val="20"/>
                <w:szCs w:val="20"/>
                <w:highlight w:val="none"/>
              </w:rPr>
            </w:pPr>
            <w:r>
              <w:rPr>
                <w:rFonts w:hint="eastAsia" w:ascii="宋体" w:hAnsi="宋体" w:cs="宋体"/>
                <w:sz w:val="20"/>
                <w:szCs w:val="20"/>
                <w:highlight w:val="none"/>
              </w:rPr>
              <w:t>1</w:t>
            </w:r>
          </w:p>
        </w:tc>
        <w:tc>
          <w:tcPr>
            <w:tcW w:w="567" w:type="dxa"/>
            <w:shd w:val="clear" w:color="auto" w:fill="auto"/>
            <w:noWrap/>
            <w:vAlign w:val="center"/>
          </w:tcPr>
          <w:p w14:paraId="6CB3B8FD">
            <w:pPr>
              <w:jc w:val="center"/>
              <w:rPr>
                <w:rFonts w:hint="eastAsia" w:ascii="宋体" w:hAnsi="宋体" w:cs="宋体"/>
                <w:sz w:val="20"/>
                <w:szCs w:val="20"/>
                <w:highlight w:val="none"/>
              </w:rPr>
            </w:pPr>
            <w:r>
              <w:rPr>
                <w:rFonts w:hint="eastAsia" w:ascii="宋体" w:hAnsi="宋体" w:cs="宋体"/>
                <w:sz w:val="20"/>
                <w:szCs w:val="20"/>
                <w:highlight w:val="none"/>
              </w:rPr>
              <w:t>套</w:t>
            </w:r>
          </w:p>
        </w:tc>
        <w:tc>
          <w:tcPr>
            <w:tcW w:w="851" w:type="dxa"/>
            <w:shd w:val="clear" w:color="auto" w:fill="auto"/>
            <w:noWrap/>
            <w:vAlign w:val="center"/>
          </w:tcPr>
          <w:p w14:paraId="69AEC96A">
            <w:pPr>
              <w:jc w:val="center"/>
              <w:rPr>
                <w:rFonts w:hint="eastAsia" w:ascii="宋体" w:hAnsi="宋体" w:cs="宋体"/>
                <w:sz w:val="20"/>
                <w:szCs w:val="20"/>
                <w:highlight w:val="none"/>
              </w:rPr>
            </w:pPr>
            <w:r>
              <w:rPr>
                <w:rFonts w:hint="eastAsia" w:ascii="宋体" w:hAnsi="宋体" w:cs="宋体"/>
                <w:sz w:val="20"/>
                <w:szCs w:val="20"/>
                <w:highlight w:val="none"/>
              </w:rPr>
              <w:t>不限</w:t>
            </w:r>
          </w:p>
        </w:tc>
      </w:tr>
      <w:tr w14:paraId="600D4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568" w:type="dxa"/>
            <w:shd w:val="clear" w:color="auto" w:fill="auto"/>
            <w:noWrap/>
            <w:vAlign w:val="center"/>
          </w:tcPr>
          <w:p w14:paraId="42A46033">
            <w:pPr>
              <w:spacing w:line="276" w:lineRule="auto"/>
              <w:rPr>
                <w:rFonts w:hint="eastAsia" w:ascii="宋体" w:hAnsi="宋体" w:cs="宋体"/>
                <w:highlight w:val="none"/>
              </w:rPr>
            </w:pPr>
            <w:r>
              <w:rPr>
                <w:rFonts w:hint="eastAsia" w:ascii="宋体" w:hAnsi="宋体" w:cs="宋体"/>
                <w:highlight w:val="none"/>
              </w:rPr>
              <w:t>11</w:t>
            </w:r>
          </w:p>
        </w:tc>
        <w:tc>
          <w:tcPr>
            <w:tcW w:w="1134" w:type="dxa"/>
            <w:shd w:val="clear" w:color="auto" w:fill="auto"/>
            <w:noWrap w:val="0"/>
            <w:vAlign w:val="center"/>
          </w:tcPr>
          <w:p w14:paraId="3FA4E72D">
            <w:pPr>
              <w:spacing w:line="276" w:lineRule="auto"/>
              <w:rPr>
                <w:rFonts w:hint="eastAsia" w:ascii="宋体" w:hAnsi="宋体" w:cs="宋体"/>
                <w:highlight w:val="none"/>
              </w:rPr>
            </w:pPr>
            <w:r>
              <w:rPr>
                <w:rFonts w:hint="eastAsia" w:ascii="宋体" w:hAnsi="宋体" w:cs="黑体"/>
                <w:highlight w:val="none"/>
              </w:rPr>
              <w:t>OCR 插件</w:t>
            </w:r>
          </w:p>
        </w:tc>
        <w:tc>
          <w:tcPr>
            <w:tcW w:w="5641" w:type="dxa"/>
            <w:shd w:val="clear" w:color="auto" w:fill="auto"/>
            <w:noWrap w:val="0"/>
            <w:vAlign w:val="top"/>
          </w:tcPr>
          <w:p w14:paraId="0ACE5497">
            <w:pPr>
              <w:spacing w:line="276" w:lineRule="auto"/>
              <w:ind w:firstLine="420" w:firstLineChars="200"/>
              <w:rPr>
                <w:rFonts w:hint="eastAsia" w:ascii="宋体" w:hAnsi="宋体" w:cs="宋体"/>
                <w:highlight w:val="none"/>
                <w:lang w:eastAsia="zh-CN"/>
              </w:rPr>
            </w:pPr>
            <w:r>
              <w:rPr>
                <w:rFonts w:hint="eastAsia" w:ascii="宋体" w:hAnsi="宋体" w:cs="宋体"/>
                <w:highlight w:val="none"/>
                <w:lang w:eastAsia="zh-CN"/>
              </w:rPr>
              <w:t>通过 OCR 识别，实现纸质发票的识别、上传、验伪、报帐，以及自动、智能的核算处理，同时作为原始资料进行留存，不仅快速高效，而且可以提升用户体验。</w:t>
            </w:r>
          </w:p>
        </w:tc>
        <w:tc>
          <w:tcPr>
            <w:tcW w:w="567" w:type="dxa"/>
            <w:shd w:val="clear" w:color="auto" w:fill="auto"/>
            <w:noWrap/>
            <w:vAlign w:val="center"/>
          </w:tcPr>
          <w:p w14:paraId="228B0DF7">
            <w:pPr>
              <w:jc w:val="center"/>
              <w:rPr>
                <w:rFonts w:hint="eastAsia" w:ascii="宋体" w:hAnsi="宋体" w:cs="宋体"/>
                <w:sz w:val="20"/>
                <w:szCs w:val="20"/>
                <w:highlight w:val="none"/>
              </w:rPr>
            </w:pPr>
            <w:r>
              <w:rPr>
                <w:rFonts w:hint="eastAsia" w:ascii="宋体" w:hAnsi="宋体" w:cs="宋体"/>
                <w:sz w:val="20"/>
                <w:szCs w:val="20"/>
                <w:highlight w:val="none"/>
              </w:rPr>
              <w:t>1</w:t>
            </w:r>
          </w:p>
        </w:tc>
        <w:tc>
          <w:tcPr>
            <w:tcW w:w="567" w:type="dxa"/>
            <w:shd w:val="clear" w:color="auto" w:fill="auto"/>
            <w:noWrap/>
            <w:vAlign w:val="center"/>
          </w:tcPr>
          <w:p w14:paraId="1DC416A7">
            <w:pPr>
              <w:jc w:val="center"/>
              <w:rPr>
                <w:rFonts w:hint="eastAsia" w:ascii="宋体" w:hAnsi="宋体" w:cs="宋体"/>
                <w:sz w:val="20"/>
                <w:szCs w:val="20"/>
                <w:highlight w:val="none"/>
              </w:rPr>
            </w:pPr>
            <w:r>
              <w:rPr>
                <w:rFonts w:hint="eastAsia" w:ascii="宋体" w:hAnsi="宋体" w:cs="宋体"/>
                <w:sz w:val="20"/>
                <w:szCs w:val="20"/>
                <w:highlight w:val="none"/>
              </w:rPr>
              <w:t>套</w:t>
            </w:r>
          </w:p>
        </w:tc>
        <w:tc>
          <w:tcPr>
            <w:tcW w:w="851" w:type="dxa"/>
            <w:shd w:val="clear" w:color="auto" w:fill="auto"/>
            <w:noWrap/>
            <w:vAlign w:val="center"/>
          </w:tcPr>
          <w:p w14:paraId="4E7AAA26">
            <w:pPr>
              <w:jc w:val="center"/>
              <w:rPr>
                <w:rFonts w:hint="eastAsia" w:ascii="宋体" w:hAnsi="宋体" w:cs="宋体"/>
                <w:sz w:val="20"/>
                <w:szCs w:val="20"/>
                <w:highlight w:val="none"/>
              </w:rPr>
            </w:pPr>
            <w:r>
              <w:rPr>
                <w:rFonts w:hint="eastAsia" w:ascii="宋体" w:hAnsi="宋体" w:cs="宋体"/>
                <w:sz w:val="20"/>
                <w:szCs w:val="20"/>
                <w:highlight w:val="none"/>
              </w:rPr>
              <w:t>不限</w:t>
            </w:r>
          </w:p>
        </w:tc>
      </w:tr>
      <w:tr w14:paraId="489E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568" w:type="dxa"/>
            <w:shd w:val="clear" w:color="auto" w:fill="auto"/>
            <w:noWrap/>
            <w:vAlign w:val="center"/>
          </w:tcPr>
          <w:p w14:paraId="7FC9399F">
            <w:pPr>
              <w:spacing w:line="276" w:lineRule="auto"/>
              <w:rPr>
                <w:rFonts w:hint="eastAsia" w:ascii="宋体" w:hAnsi="宋体" w:cs="宋体"/>
                <w:highlight w:val="none"/>
              </w:rPr>
            </w:pPr>
            <w:r>
              <w:rPr>
                <w:rFonts w:hint="eastAsia" w:ascii="宋体" w:hAnsi="宋体" w:cs="宋体"/>
                <w:highlight w:val="none"/>
              </w:rPr>
              <w:t>12</w:t>
            </w:r>
          </w:p>
        </w:tc>
        <w:tc>
          <w:tcPr>
            <w:tcW w:w="1134" w:type="dxa"/>
            <w:shd w:val="clear" w:color="auto" w:fill="auto"/>
            <w:noWrap w:val="0"/>
            <w:vAlign w:val="center"/>
          </w:tcPr>
          <w:p w14:paraId="7DB7212A">
            <w:pPr>
              <w:spacing w:line="276" w:lineRule="auto"/>
              <w:rPr>
                <w:rFonts w:hint="eastAsia" w:ascii="宋体" w:hAnsi="宋体" w:cs="宋体"/>
                <w:highlight w:val="none"/>
                <w:lang w:eastAsia="zh-CN"/>
              </w:rPr>
            </w:pPr>
            <w:r>
              <w:rPr>
                <w:rFonts w:hint="eastAsia" w:ascii="宋体" w:hAnsi="宋体" w:cs="黑体"/>
                <w:highlight w:val="none"/>
                <w:lang w:eastAsia="zh-CN"/>
              </w:rPr>
              <w:t>OCR 票据识别公有云服务</w:t>
            </w:r>
          </w:p>
        </w:tc>
        <w:tc>
          <w:tcPr>
            <w:tcW w:w="5641" w:type="dxa"/>
            <w:shd w:val="clear" w:color="auto" w:fill="auto"/>
            <w:noWrap w:val="0"/>
            <w:vAlign w:val="center"/>
          </w:tcPr>
          <w:p w14:paraId="59EFCB20">
            <w:pPr>
              <w:spacing w:line="276" w:lineRule="auto"/>
              <w:ind w:firstLine="420" w:firstLineChars="200"/>
              <w:rPr>
                <w:rFonts w:hint="eastAsia" w:ascii="宋体" w:hAnsi="宋体" w:cs="宋体"/>
                <w:highlight w:val="none"/>
                <w:lang w:eastAsia="zh-CN"/>
              </w:rPr>
            </w:pPr>
            <w:r>
              <w:rPr>
                <w:rFonts w:hint="eastAsia" w:ascii="宋体" w:hAnsi="宋体" w:cs="宋体"/>
                <w:highlight w:val="none"/>
                <w:lang w:eastAsia="zh-CN"/>
              </w:rPr>
              <w:t>OCR 票据识别公有云服务</w:t>
            </w:r>
            <w:r>
              <w:rPr>
                <w:rFonts w:hint="eastAsia" w:ascii="宋体" w:hAnsi="宋体" w:cs="宋体"/>
                <w:highlight w:val="none"/>
                <w:lang w:eastAsia="zh-CN"/>
              </w:rPr>
              <w:tab/>
            </w:r>
            <w:r>
              <w:rPr>
                <w:rFonts w:hint="eastAsia" w:ascii="宋体" w:hAnsi="宋体" w:cs="宋体"/>
                <w:highlight w:val="none"/>
                <w:lang w:eastAsia="zh-CN"/>
              </w:rPr>
              <w:t>支持高拍仪拍照识别票据（本价格不含高拍仪），识别的票据种类包括全国统一的增值税发票、航空行程单、火车票、船运客票、客运汽车票、出租车票、过路过桥费发票、停车费发票、定额发票、机打发票等。</w:t>
            </w:r>
          </w:p>
        </w:tc>
        <w:tc>
          <w:tcPr>
            <w:tcW w:w="567" w:type="dxa"/>
            <w:shd w:val="clear" w:color="auto" w:fill="auto"/>
            <w:noWrap/>
            <w:vAlign w:val="center"/>
          </w:tcPr>
          <w:p w14:paraId="234C5F4F">
            <w:pPr>
              <w:jc w:val="center"/>
              <w:rPr>
                <w:rFonts w:hint="eastAsia" w:ascii="宋体" w:hAnsi="宋体" w:cs="宋体"/>
                <w:sz w:val="20"/>
                <w:szCs w:val="20"/>
                <w:highlight w:val="none"/>
              </w:rPr>
            </w:pPr>
            <w:r>
              <w:rPr>
                <w:rFonts w:hint="eastAsia" w:ascii="宋体" w:hAnsi="宋体" w:cs="宋体"/>
                <w:sz w:val="20"/>
                <w:szCs w:val="20"/>
                <w:highlight w:val="none"/>
              </w:rPr>
              <w:t>1</w:t>
            </w:r>
          </w:p>
        </w:tc>
        <w:tc>
          <w:tcPr>
            <w:tcW w:w="567" w:type="dxa"/>
            <w:shd w:val="clear" w:color="auto" w:fill="auto"/>
            <w:noWrap/>
            <w:vAlign w:val="center"/>
          </w:tcPr>
          <w:p w14:paraId="5452BFC5">
            <w:pPr>
              <w:jc w:val="center"/>
              <w:rPr>
                <w:rFonts w:hint="eastAsia" w:ascii="宋体" w:hAnsi="宋体" w:cs="宋体"/>
                <w:sz w:val="20"/>
                <w:szCs w:val="20"/>
                <w:highlight w:val="none"/>
              </w:rPr>
            </w:pPr>
            <w:r>
              <w:rPr>
                <w:rFonts w:hint="eastAsia" w:ascii="宋体" w:hAnsi="宋体" w:cs="宋体"/>
                <w:sz w:val="20"/>
                <w:szCs w:val="20"/>
                <w:highlight w:val="none"/>
              </w:rPr>
              <w:t>套</w:t>
            </w:r>
          </w:p>
        </w:tc>
        <w:tc>
          <w:tcPr>
            <w:tcW w:w="851" w:type="dxa"/>
            <w:shd w:val="clear" w:color="auto" w:fill="auto"/>
            <w:noWrap/>
            <w:vAlign w:val="center"/>
          </w:tcPr>
          <w:p w14:paraId="1192684F">
            <w:pPr>
              <w:jc w:val="center"/>
              <w:rPr>
                <w:rFonts w:hint="eastAsia" w:ascii="宋体" w:hAnsi="宋体" w:cs="宋体"/>
                <w:sz w:val="20"/>
                <w:szCs w:val="20"/>
                <w:highlight w:val="none"/>
              </w:rPr>
            </w:pPr>
            <w:r>
              <w:rPr>
                <w:rFonts w:hint="eastAsia" w:ascii="宋体" w:hAnsi="宋体" w:cs="宋体"/>
                <w:sz w:val="20"/>
                <w:szCs w:val="20"/>
                <w:highlight w:val="none"/>
              </w:rPr>
              <w:t>不限</w:t>
            </w:r>
          </w:p>
        </w:tc>
      </w:tr>
      <w:tr w14:paraId="3988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568" w:type="dxa"/>
            <w:shd w:val="clear" w:color="auto" w:fill="auto"/>
            <w:noWrap/>
            <w:vAlign w:val="center"/>
          </w:tcPr>
          <w:p w14:paraId="74F4F09D">
            <w:pPr>
              <w:spacing w:line="276" w:lineRule="auto"/>
              <w:rPr>
                <w:rFonts w:hint="eastAsia" w:ascii="宋体" w:hAnsi="宋体" w:cs="宋体"/>
                <w:highlight w:val="none"/>
              </w:rPr>
            </w:pPr>
            <w:r>
              <w:rPr>
                <w:rFonts w:hint="eastAsia" w:ascii="宋体" w:hAnsi="宋体" w:cs="宋体"/>
                <w:highlight w:val="none"/>
              </w:rPr>
              <w:t>13</w:t>
            </w:r>
          </w:p>
        </w:tc>
        <w:tc>
          <w:tcPr>
            <w:tcW w:w="1134" w:type="dxa"/>
            <w:shd w:val="clear" w:color="auto" w:fill="auto"/>
            <w:noWrap w:val="0"/>
            <w:vAlign w:val="center"/>
          </w:tcPr>
          <w:p w14:paraId="467C2747">
            <w:pPr>
              <w:spacing w:line="276" w:lineRule="auto"/>
              <w:rPr>
                <w:rFonts w:hint="eastAsia" w:ascii="宋体" w:hAnsi="宋体" w:cs="黑体"/>
                <w:highlight w:val="none"/>
              </w:rPr>
            </w:pPr>
            <w:r>
              <w:rPr>
                <w:rFonts w:hint="eastAsia" w:ascii="宋体" w:hAnsi="宋体" w:cs="黑体"/>
                <w:highlight w:val="none"/>
              </w:rPr>
              <w:t>电子附件扫描插件</w:t>
            </w:r>
          </w:p>
        </w:tc>
        <w:tc>
          <w:tcPr>
            <w:tcW w:w="5641" w:type="dxa"/>
            <w:shd w:val="clear" w:color="auto" w:fill="auto"/>
            <w:noWrap w:val="0"/>
            <w:vAlign w:val="center"/>
          </w:tcPr>
          <w:p w14:paraId="330EF3D1">
            <w:pPr>
              <w:spacing w:line="276" w:lineRule="auto"/>
              <w:ind w:firstLine="210" w:firstLineChars="100"/>
              <w:rPr>
                <w:rFonts w:hint="eastAsia" w:ascii="宋体" w:hAnsi="宋体" w:cs="宋体"/>
                <w:highlight w:val="none"/>
                <w:lang w:eastAsia="zh-CN"/>
              </w:rPr>
            </w:pPr>
            <w:r>
              <w:rPr>
                <w:rFonts w:hint="eastAsia" w:ascii="宋体" w:hAnsi="宋体" w:cs="宋体"/>
                <w:highlight w:val="none"/>
                <w:lang w:eastAsia="zh-CN"/>
              </w:rPr>
              <w:t>能将报销附件通过高拍仪扫描后，生成电子附件传递到网报系统中，作为报销附件保存，便于审核和查询</w:t>
            </w:r>
          </w:p>
        </w:tc>
        <w:tc>
          <w:tcPr>
            <w:tcW w:w="567" w:type="dxa"/>
            <w:shd w:val="clear" w:color="auto" w:fill="auto"/>
            <w:noWrap/>
            <w:vAlign w:val="center"/>
          </w:tcPr>
          <w:p w14:paraId="418253A0">
            <w:pPr>
              <w:jc w:val="center"/>
              <w:rPr>
                <w:rFonts w:hint="eastAsia" w:ascii="宋体" w:hAnsi="宋体" w:cs="宋体"/>
                <w:sz w:val="20"/>
                <w:szCs w:val="20"/>
                <w:highlight w:val="none"/>
              </w:rPr>
            </w:pPr>
            <w:r>
              <w:rPr>
                <w:rFonts w:hint="eastAsia" w:ascii="宋体" w:hAnsi="宋体" w:cs="宋体"/>
                <w:sz w:val="20"/>
                <w:szCs w:val="20"/>
                <w:highlight w:val="none"/>
              </w:rPr>
              <w:t>1</w:t>
            </w:r>
          </w:p>
        </w:tc>
        <w:tc>
          <w:tcPr>
            <w:tcW w:w="567" w:type="dxa"/>
            <w:shd w:val="clear" w:color="auto" w:fill="auto"/>
            <w:noWrap/>
            <w:vAlign w:val="center"/>
          </w:tcPr>
          <w:p w14:paraId="6E70E926">
            <w:pPr>
              <w:jc w:val="center"/>
              <w:rPr>
                <w:rFonts w:hint="eastAsia" w:ascii="宋体" w:hAnsi="宋体" w:cs="宋体"/>
                <w:sz w:val="20"/>
                <w:szCs w:val="20"/>
                <w:highlight w:val="none"/>
              </w:rPr>
            </w:pPr>
            <w:r>
              <w:rPr>
                <w:rFonts w:hint="eastAsia" w:ascii="宋体" w:hAnsi="宋体" w:cs="宋体"/>
                <w:sz w:val="20"/>
                <w:szCs w:val="20"/>
                <w:highlight w:val="none"/>
              </w:rPr>
              <w:t>套</w:t>
            </w:r>
          </w:p>
        </w:tc>
        <w:tc>
          <w:tcPr>
            <w:tcW w:w="851" w:type="dxa"/>
            <w:shd w:val="clear" w:color="auto" w:fill="auto"/>
            <w:noWrap/>
            <w:vAlign w:val="center"/>
          </w:tcPr>
          <w:p w14:paraId="1C344432">
            <w:pPr>
              <w:jc w:val="center"/>
              <w:rPr>
                <w:rFonts w:hint="eastAsia" w:ascii="宋体" w:hAnsi="宋体" w:cs="宋体"/>
                <w:sz w:val="20"/>
                <w:szCs w:val="20"/>
                <w:highlight w:val="none"/>
              </w:rPr>
            </w:pPr>
            <w:r>
              <w:rPr>
                <w:rFonts w:hint="eastAsia" w:ascii="宋体" w:hAnsi="宋体" w:cs="宋体"/>
                <w:sz w:val="20"/>
                <w:szCs w:val="20"/>
                <w:highlight w:val="none"/>
              </w:rPr>
              <w:t>不限</w:t>
            </w:r>
          </w:p>
        </w:tc>
      </w:tr>
      <w:tr w14:paraId="5078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568" w:type="dxa"/>
            <w:shd w:val="clear" w:color="auto" w:fill="auto"/>
            <w:noWrap/>
            <w:vAlign w:val="center"/>
          </w:tcPr>
          <w:p w14:paraId="50315808">
            <w:pPr>
              <w:spacing w:line="276" w:lineRule="auto"/>
              <w:rPr>
                <w:rFonts w:hint="eastAsia" w:ascii="宋体" w:hAnsi="宋体" w:cs="宋体"/>
                <w:highlight w:val="none"/>
              </w:rPr>
            </w:pPr>
            <w:r>
              <w:rPr>
                <w:rFonts w:hint="eastAsia" w:ascii="宋体" w:hAnsi="宋体" w:cs="宋体"/>
                <w:highlight w:val="none"/>
              </w:rPr>
              <w:t>14</w:t>
            </w:r>
          </w:p>
        </w:tc>
        <w:tc>
          <w:tcPr>
            <w:tcW w:w="1134" w:type="dxa"/>
            <w:shd w:val="clear" w:color="auto" w:fill="auto"/>
            <w:noWrap w:val="0"/>
            <w:vAlign w:val="center"/>
          </w:tcPr>
          <w:p w14:paraId="76AA28F3">
            <w:pPr>
              <w:spacing w:line="276" w:lineRule="auto"/>
              <w:rPr>
                <w:rFonts w:hint="eastAsia" w:ascii="宋体" w:hAnsi="宋体" w:cs="黑体"/>
                <w:highlight w:val="none"/>
              </w:rPr>
            </w:pPr>
            <w:r>
              <w:rPr>
                <w:rFonts w:hint="eastAsia" w:ascii="宋体" w:hAnsi="宋体" w:cs="黑体"/>
                <w:highlight w:val="none"/>
              </w:rPr>
              <w:t>高拍仪</w:t>
            </w:r>
          </w:p>
        </w:tc>
        <w:tc>
          <w:tcPr>
            <w:tcW w:w="5641" w:type="dxa"/>
            <w:shd w:val="clear" w:color="auto" w:fill="auto"/>
            <w:noWrap w:val="0"/>
            <w:vAlign w:val="top"/>
          </w:tcPr>
          <w:p w14:paraId="2ADC2A54">
            <w:pPr>
              <w:rPr>
                <w:rFonts w:hint="eastAsia" w:ascii="宋体" w:hAnsi="宋体" w:cs="宋体"/>
                <w:highlight w:val="none"/>
                <w:lang w:eastAsia="zh-CN"/>
              </w:rPr>
            </w:pPr>
            <w:r>
              <w:rPr>
                <w:rFonts w:hint="eastAsia" w:ascii="宋体" w:hAnsi="宋体" w:cs="宋体"/>
                <w:highlight w:val="none"/>
                <w:lang w:eastAsia="zh-CN"/>
              </w:rPr>
              <w:t>1.扫描功能： ≥1秒快速扫描 、速率≥480MB/s， 支持A3/A4等文件的扫描与存档，内置图像处理软件，JPEG、TIF、自动去底色，自动纠偏，裁切黑边等功能，并提供影像压缩功能，文件存储支持JPEG、TIF、PDF等数十种常见格式</w:t>
            </w:r>
          </w:p>
          <w:p w14:paraId="36AB60F4">
            <w:pPr>
              <w:rPr>
                <w:rFonts w:hint="eastAsia" w:ascii="宋体" w:hAnsi="宋体" w:cs="宋体"/>
                <w:highlight w:val="none"/>
                <w:lang w:eastAsia="zh-CN"/>
              </w:rPr>
            </w:pPr>
            <w:r>
              <w:rPr>
                <w:rFonts w:hint="eastAsia" w:ascii="宋体" w:hAnsi="宋体" w:cs="宋体"/>
                <w:highlight w:val="none"/>
                <w:lang w:eastAsia="zh-CN"/>
              </w:rPr>
              <w:t>图像处理功能：提供“框选、旋转、裁切、改变图像大小、反色、灰度图、二值图、亮度调整、曝光长度调整、锐利度调整、色彩调整、增益控制”等常用功能；</w:t>
            </w:r>
          </w:p>
          <w:p w14:paraId="335889C4">
            <w:pPr>
              <w:rPr>
                <w:rFonts w:hint="eastAsia" w:ascii="宋体" w:hAnsi="宋体" w:cs="宋体"/>
                <w:highlight w:val="none"/>
                <w:lang w:eastAsia="zh-CN"/>
              </w:rPr>
            </w:pPr>
            <w:r>
              <w:rPr>
                <w:rFonts w:hint="eastAsia" w:ascii="宋体" w:hAnsi="宋体" w:cs="宋体"/>
                <w:highlight w:val="none"/>
                <w:lang w:eastAsia="zh-CN"/>
              </w:rPr>
              <w:t>2.录像功能：随机具备实时录像功能，需赠送录音功能的软件；</w:t>
            </w:r>
          </w:p>
          <w:p w14:paraId="1CCA6342">
            <w:pPr>
              <w:rPr>
                <w:rFonts w:hint="eastAsia" w:ascii="宋体" w:hAnsi="宋体" w:cs="宋体"/>
                <w:highlight w:val="none"/>
                <w:lang w:eastAsia="zh-CN"/>
              </w:rPr>
            </w:pPr>
            <w:r>
              <w:rPr>
                <w:rFonts w:hint="eastAsia" w:ascii="宋体" w:hAnsi="宋体" w:cs="宋体"/>
                <w:highlight w:val="none"/>
                <w:lang w:eastAsia="zh-CN"/>
              </w:rPr>
              <w:t>3.图片管理功能：提供图片目录分类管理功能，支持自建目录和本地目录；</w:t>
            </w:r>
          </w:p>
          <w:p w14:paraId="1CD43AEE">
            <w:pPr>
              <w:rPr>
                <w:rFonts w:hint="eastAsia" w:ascii="宋体" w:hAnsi="宋体" w:cs="宋体"/>
                <w:highlight w:val="none"/>
                <w:lang w:eastAsia="zh-CN"/>
              </w:rPr>
            </w:pPr>
            <w:r>
              <w:rPr>
                <w:rFonts w:hint="eastAsia" w:ascii="宋体" w:hAnsi="宋体" w:cs="宋体"/>
                <w:highlight w:val="none"/>
                <w:lang w:eastAsia="zh-CN"/>
              </w:rPr>
              <w:t>4.识别功能：支持二代证识别，支持条形码识别及二维码识别，0CR文字识别，可输出Word excel、txt格式文档、支持图片分区域识别、支持160多种语言文字识别；</w:t>
            </w:r>
          </w:p>
          <w:p w14:paraId="1BEDA897">
            <w:pPr>
              <w:rPr>
                <w:rFonts w:hint="eastAsia" w:ascii="宋体" w:hAnsi="宋体" w:cs="宋体"/>
                <w:highlight w:val="none"/>
                <w:lang w:eastAsia="zh-CN"/>
              </w:rPr>
            </w:pPr>
            <w:r>
              <w:rPr>
                <w:rFonts w:hint="eastAsia" w:ascii="宋体" w:hAnsi="宋体" w:cs="宋体"/>
                <w:highlight w:val="none"/>
                <w:lang w:eastAsia="zh-CN"/>
              </w:rPr>
              <w:t>5.原稿类型：支持文档、书籍、立体物品、图片、照片、杂志等的扫描存档和动态展示最大拍摄幅面：A3；</w:t>
            </w:r>
          </w:p>
          <w:p w14:paraId="0217F484">
            <w:pPr>
              <w:rPr>
                <w:rFonts w:hint="eastAsia" w:ascii="宋体" w:hAnsi="宋体" w:cs="宋体"/>
                <w:highlight w:val="none"/>
                <w:lang w:eastAsia="zh-CN"/>
              </w:rPr>
            </w:pPr>
            <w:r>
              <w:rPr>
                <w:rFonts w:hint="eastAsia" w:ascii="宋体" w:hAnsi="宋体" w:cs="宋体"/>
                <w:highlight w:val="none"/>
                <w:lang w:eastAsia="zh-CN"/>
              </w:rPr>
              <w:t>扫描速度：≥1秒高速扫描，传输帧率≥30FPS(VGA)，图像色彩24位；</w:t>
            </w:r>
          </w:p>
          <w:p w14:paraId="65B00840">
            <w:pPr>
              <w:rPr>
                <w:rFonts w:hint="eastAsia" w:ascii="宋体" w:hAnsi="宋体" w:cs="宋体"/>
                <w:highlight w:val="none"/>
                <w:lang w:eastAsia="zh-CN"/>
              </w:rPr>
            </w:pPr>
            <w:r>
              <w:rPr>
                <w:rFonts w:hint="eastAsia" w:ascii="宋体" w:hAnsi="宋体" w:cs="宋体"/>
                <w:highlight w:val="none"/>
                <w:lang w:eastAsia="zh-CN"/>
              </w:rPr>
              <w:t>6.分辨率：感光元件COMS； 主镜头≥1000万像素，辅助镜头≥200万像素；辅摄像头支持水平≥270度旋转，上下45度旋转。</w:t>
            </w:r>
          </w:p>
          <w:p w14:paraId="2A6C5674">
            <w:pPr>
              <w:rPr>
                <w:rFonts w:hint="eastAsia" w:ascii="宋体" w:hAnsi="宋体" w:cs="宋体"/>
                <w:highlight w:val="none"/>
                <w:lang w:eastAsia="zh-CN"/>
              </w:rPr>
            </w:pPr>
            <w:r>
              <w:rPr>
                <w:rFonts w:hint="eastAsia" w:ascii="宋体" w:hAnsi="宋体" w:cs="宋体"/>
                <w:highlight w:val="none"/>
              </w:rPr>
              <w:t>7.图片格式：JPG、TIF、PDF、BMP、TGA、PCX、PNG、RAS等， 支持一键生成PDF文件。</w:t>
            </w:r>
            <w:r>
              <w:rPr>
                <w:rFonts w:hint="eastAsia" w:ascii="宋体" w:hAnsi="宋体" w:cs="宋体"/>
                <w:highlight w:val="none"/>
                <w:lang w:eastAsia="zh-CN"/>
              </w:rPr>
              <w:t>视频格式：AVI、WMV。</w:t>
            </w:r>
          </w:p>
          <w:p w14:paraId="22AC1DAA">
            <w:pPr>
              <w:rPr>
                <w:rFonts w:hint="eastAsia" w:ascii="宋体" w:hAnsi="宋体" w:cs="宋体"/>
                <w:highlight w:val="none"/>
              </w:rPr>
            </w:pPr>
            <w:r>
              <w:rPr>
                <w:rFonts w:hint="eastAsia" w:ascii="宋体" w:hAnsi="宋体" w:cs="宋体"/>
                <w:highlight w:val="none"/>
              </w:rPr>
              <w:t>8.接口：USB 2.0，外接电源 WDM Driver、VFWDriver、TWAIN接口。</w:t>
            </w:r>
          </w:p>
          <w:p w14:paraId="187C74DC">
            <w:pPr>
              <w:rPr>
                <w:rFonts w:hint="eastAsia" w:ascii="宋体" w:hAnsi="宋体" w:cs="宋体"/>
                <w:highlight w:val="none"/>
              </w:rPr>
            </w:pPr>
            <w:r>
              <w:rPr>
                <w:rFonts w:hint="eastAsia" w:ascii="宋体" w:hAnsi="宋体" w:cs="宋体"/>
                <w:highlight w:val="none"/>
              </w:rPr>
              <w:t>9.光源：自然光 +LED触控智能补光灯（五颗白色LED补光灯）。</w:t>
            </w:r>
          </w:p>
          <w:p w14:paraId="627F24D5">
            <w:pPr>
              <w:spacing w:line="276" w:lineRule="auto"/>
              <w:ind w:firstLine="420" w:firstLineChars="200"/>
              <w:rPr>
                <w:rFonts w:hint="eastAsia" w:ascii="宋体" w:hAnsi="宋体" w:cs="宋体"/>
                <w:highlight w:val="none"/>
                <w:lang w:eastAsia="zh-CN"/>
              </w:rPr>
            </w:pPr>
            <w:r>
              <w:rPr>
                <w:rFonts w:hint="eastAsia" w:ascii="宋体" w:hAnsi="宋体" w:cs="宋体"/>
                <w:highlight w:val="none"/>
              </w:rPr>
              <w:t>10.系统要求： P4</w:t>
            </w:r>
            <w:r>
              <w:rPr>
                <w:rFonts w:hint="eastAsia" w:ascii="宋体" w:hAnsi="宋体" w:cs="宋体"/>
                <w:highlight w:val="none"/>
              </w:rPr>
              <w:tab/>
            </w:r>
            <w:r>
              <w:rPr>
                <w:rFonts w:hint="eastAsia" w:ascii="宋体" w:hAnsi="宋体" w:cs="宋体"/>
                <w:highlight w:val="none"/>
              </w:rPr>
              <w:t>1G 或 同 等 级 CPU ， 512M 内 存 以 上 ,Microsoft</w:t>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Windows 2000(SP4)/2003/XP/Vista主机需内建USB2.0适配卡或外插USB2.0适配卡，MS Direct X9.0以上版本提示：技术参数是对采购标的的功能和质量要求。</w:t>
            </w:r>
            <w:r>
              <w:rPr>
                <w:rFonts w:hint="eastAsia" w:ascii="宋体" w:hAnsi="宋体" w:cs="宋体"/>
                <w:highlight w:val="none"/>
                <w:lang w:eastAsia="zh-CN"/>
              </w:rPr>
              <w:t>包括性能、材料、结构、外观、安全，或者服务/工程内容和标准等。</w:t>
            </w:r>
          </w:p>
        </w:tc>
        <w:tc>
          <w:tcPr>
            <w:tcW w:w="567" w:type="dxa"/>
            <w:shd w:val="clear" w:color="auto" w:fill="auto"/>
            <w:noWrap/>
            <w:vAlign w:val="center"/>
          </w:tcPr>
          <w:p w14:paraId="504D2C79">
            <w:pPr>
              <w:jc w:val="center"/>
              <w:rPr>
                <w:rFonts w:hint="eastAsia" w:ascii="宋体" w:hAnsi="宋体" w:cs="宋体"/>
                <w:sz w:val="20"/>
                <w:szCs w:val="20"/>
                <w:highlight w:val="none"/>
              </w:rPr>
            </w:pPr>
            <w:r>
              <w:rPr>
                <w:rFonts w:hint="eastAsia" w:ascii="宋体" w:hAnsi="宋体" w:cs="宋体"/>
                <w:sz w:val="20"/>
                <w:szCs w:val="20"/>
                <w:highlight w:val="none"/>
              </w:rPr>
              <w:t>30</w:t>
            </w:r>
          </w:p>
        </w:tc>
        <w:tc>
          <w:tcPr>
            <w:tcW w:w="567" w:type="dxa"/>
            <w:shd w:val="clear" w:color="auto" w:fill="auto"/>
            <w:noWrap/>
            <w:vAlign w:val="center"/>
          </w:tcPr>
          <w:p w14:paraId="19BAE94A">
            <w:pPr>
              <w:jc w:val="center"/>
              <w:rPr>
                <w:rFonts w:hint="eastAsia" w:ascii="宋体" w:hAnsi="宋体" w:cs="宋体"/>
                <w:sz w:val="20"/>
                <w:szCs w:val="20"/>
                <w:highlight w:val="none"/>
              </w:rPr>
            </w:pPr>
            <w:r>
              <w:rPr>
                <w:rFonts w:hint="eastAsia" w:ascii="宋体" w:hAnsi="宋体" w:cs="宋体"/>
                <w:sz w:val="20"/>
                <w:szCs w:val="20"/>
                <w:highlight w:val="none"/>
              </w:rPr>
              <w:t>台</w:t>
            </w:r>
          </w:p>
        </w:tc>
        <w:tc>
          <w:tcPr>
            <w:tcW w:w="851" w:type="dxa"/>
            <w:shd w:val="clear" w:color="auto" w:fill="auto"/>
            <w:noWrap/>
            <w:vAlign w:val="center"/>
          </w:tcPr>
          <w:p w14:paraId="16A62FBD">
            <w:pPr>
              <w:jc w:val="center"/>
              <w:rPr>
                <w:rFonts w:hint="eastAsia" w:ascii="宋体" w:hAnsi="宋体" w:cs="宋体"/>
                <w:sz w:val="20"/>
                <w:szCs w:val="20"/>
                <w:highlight w:val="none"/>
              </w:rPr>
            </w:pPr>
          </w:p>
        </w:tc>
      </w:tr>
      <w:tr w14:paraId="1A90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68" w:type="dxa"/>
            <w:shd w:val="clear" w:color="auto" w:fill="auto"/>
            <w:noWrap/>
            <w:vAlign w:val="center"/>
          </w:tcPr>
          <w:p w14:paraId="23AA7D91">
            <w:pPr>
              <w:spacing w:line="276" w:lineRule="auto"/>
              <w:rPr>
                <w:rFonts w:hint="eastAsia" w:ascii="宋体" w:hAnsi="宋体" w:cs="宋体"/>
                <w:highlight w:val="none"/>
              </w:rPr>
            </w:pPr>
            <w:r>
              <w:rPr>
                <w:rFonts w:hint="eastAsia" w:ascii="宋体" w:hAnsi="宋体" w:cs="宋体"/>
                <w:highlight w:val="none"/>
              </w:rPr>
              <w:t>15</w:t>
            </w:r>
          </w:p>
        </w:tc>
        <w:tc>
          <w:tcPr>
            <w:tcW w:w="1134" w:type="dxa"/>
            <w:shd w:val="clear" w:color="auto" w:fill="auto"/>
            <w:noWrap w:val="0"/>
            <w:vAlign w:val="center"/>
          </w:tcPr>
          <w:p w14:paraId="31689B05">
            <w:pPr>
              <w:spacing w:line="360" w:lineRule="auto"/>
              <w:rPr>
                <w:rFonts w:hint="eastAsia" w:ascii="宋体" w:hAnsi="宋体" w:cs="宋体"/>
                <w:highlight w:val="none"/>
              </w:rPr>
            </w:pPr>
            <w:r>
              <w:rPr>
                <w:rFonts w:hint="eastAsia" w:ascii="宋体" w:hAnsi="宋体" w:cs="宋体"/>
                <w:highlight w:val="none"/>
              </w:rPr>
              <w:t>收费平台</w:t>
            </w:r>
          </w:p>
        </w:tc>
        <w:tc>
          <w:tcPr>
            <w:tcW w:w="5641" w:type="dxa"/>
            <w:shd w:val="clear" w:color="auto" w:fill="auto"/>
            <w:noWrap w:val="0"/>
            <w:vAlign w:val="center"/>
          </w:tcPr>
          <w:p w14:paraId="1DEE4653">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支付模块：</w:t>
            </w:r>
          </w:p>
          <w:p w14:paraId="494AA4DE">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统一管理全校各场景支付入口，支持提供收银台供其他业务系统对接；</w:t>
            </w:r>
          </w:p>
          <w:p w14:paraId="35854052">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支持与税票系统对接，同时支持与江西省教育缴费服务平台接口对接，确保今后省内财政直缴的平滑升级；</w:t>
            </w:r>
          </w:p>
          <w:p w14:paraId="3F52D8CE">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支持银联支付、微信支付、支付宝支付、电子结算账户支付等多种支付方式。支持数字人民币的电子支付应用需求；</w:t>
            </w:r>
          </w:p>
          <w:p w14:paraId="4AB112B2">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支持对不同商户号关于支付手续费的设置（主要包括：手续费费率设置、手续费收取方向设置）；</w:t>
            </w:r>
          </w:p>
          <w:p w14:paraId="720E257E">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支持查询、撤销等功能：除基本支付功能以外，支持订单查询、订单撤销功能。</w:t>
            </w:r>
          </w:p>
          <w:p w14:paraId="78BFA84F">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具备支付功能开放能力，向校内业务系统提供标准支付接口、退款接口、查询接口、对账接口。</w:t>
            </w:r>
          </w:p>
          <w:p w14:paraId="1A48AFA7">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支持为收费管理系统、二维码系统、校园在线消费系统等业务系统提供支付服务；为校内的其他应用系统提供统一支付接口，实现支付项目管理、订单生成、在线支付、对账管理等众多资金流转环节信息化。</w:t>
            </w:r>
          </w:p>
          <w:p w14:paraId="1F6B362B">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支持对各项缴费项目的缴费时段控制，起到限定网络缴费时间和自动在时限内禁止缴费的双重功能。</w:t>
            </w:r>
          </w:p>
          <w:p w14:paraId="52D8B686">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支持订单的自动补单和人工补单处理；支持与各支付渠道日终自动对账、平账。</w:t>
            </w:r>
          </w:p>
          <w:p w14:paraId="459B446E">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收费模块：</w:t>
            </w:r>
          </w:p>
          <w:p w14:paraId="07D637AF">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开放学生学籍信息管理的能力：支持由迎新系统、教务系统或数据中心对支付平台学生学籍信息进行批量实时/定时新增、修改、删除的能力；</w:t>
            </w:r>
          </w:p>
          <w:p w14:paraId="46145397">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开放的对接能力：支持与绿色通道对接，对学费的贷款申请、减免、缓缴等关联管理；支持住宿费与宿管系统的联动管理，支持根据住宿标准自动发布住宿费收费标准；</w:t>
            </w:r>
          </w:p>
          <w:p w14:paraId="5818C63A">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自动发布收费能力：支持根据院系、专业、班级、年级、培养层次、学生类别、户籍、收费年度等自动发布学费收费标准；</w:t>
            </w:r>
          </w:p>
          <w:p w14:paraId="5270A531">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自动生成减免的能力：持根据院系、专业、班级、年级、培养层次、学生类别、户籍、收费年度等设置学费减免金额；</w:t>
            </w:r>
          </w:p>
          <w:p w14:paraId="1CDCBEB7">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Excel导表收费能力：支持excel导表收费，导入人员信息可支持在校生、校外用户、教师等；</w:t>
            </w:r>
          </w:p>
          <w:p w14:paraId="2733CC9B">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部门权限划分能力：支持按部门管理收费人群和收费项目，收费模块具备数据权限和功能权限的双项管理；</w:t>
            </w:r>
          </w:p>
          <w:p w14:paraId="466E0245">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配套统计报表服务，支持定制化开发各类报表；</w:t>
            </w:r>
          </w:p>
          <w:p w14:paraId="42C38187">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报名模块：</w:t>
            </w:r>
          </w:p>
          <w:p w14:paraId="06C8C7EA">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报名流程自定义的能力：支持对报名业务的流程配置；支持对报名收费项目的批次管理，各批次流程均可自定义；</w:t>
            </w:r>
          </w:p>
          <w:p w14:paraId="6D9203CC">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报名表单自定义配置：支持对报名表单的配置，需包含：文本、时间、图片、富文本、单选/复选、下拉菜单、超链接等；支持表单内容级联控制；支持表单内容进行条件判断，如：大于/等于/小于、与/或/非、布尔值等的判断；支持表单跳转时可根据跳转设定规则进行计算并跳转至其它表单；</w:t>
            </w:r>
          </w:p>
          <w:p w14:paraId="060C3D5C">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对接能力：支持与收费系统联动，将报名缴费后的数据实时可以在收费系统中查看；</w:t>
            </w:r>
          </w:p>
          <w:p w14:paraId="1B50ADDC">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票据模块：</w:t>
            </w:r>
          </w:p>
          <w:p w14:paraId="294240D3">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聚合开票能力：支持同时对接多家票据厂商：博思、百旺、兴财、航信，可开具多种电子票据类型：开具电子非税、往来、含税电子票据，或者学校专用电子票据。</w:t>
            </w:r>
          </w:p>
          <w:p w14:paraId="5A2D1EDC">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全场景开票服务能力：支持付款人开票抬头信息维护；支持自动实时出票，支付完成时票据出票同时完成；支持自动定时出票，支付完成后日终数据汇总后统一出票；支持付款人申请出票（自动审核/人工审核）；支持收款方单笔/批量出票。</w:t>
            </w:r>
          </w:p>
          <w:p w14:paraId="74227541">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导表开票管理: 支持票据管理员将其他渠道支付付款项目开票信息导入系统，实现批量开票。</w:t>
            </w:r>
          </w:p>
          <w:p w14:paraId="0F70B3AD">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支持为增值税电子发票设定税率</w:t>
            </w:r>
          </w:p>
          <w:p w14:paraId="745F5D2C">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支持通过微信公众号查询电子发票；</w:t>
            </w:r>
          </w:p>
          <w:p w14:paraId="3A0C9117">
            <w:pPr>
              <w:spacing w:line="360" w:lineRule="auto"/>
              <w:ind w:firstLine="420"/>
              <w:rPr>
                <w:rFonts w:hint="eastAsia" w:ascii="宋体" w:hAnsi="宋体" w:cs="宋体"/>
                <w:bCs/>
                <w:highlight w:val="none"/>
              </w:rPr>
            </w:pPr>
            <w:r>
              <w:rPr>
                <w:rFonts w:hint="eastAsia" w:ascii="宋体" w:hAnsi="宋体" w:cs="宋体"/>
                <w:bCs/>
                <w:highlight w:val="none"/>
              </w:rPr>
              <w:t>系统维护升级</w:t>
            </w:r>
          </w:p>
          <w:p w14:paraId="2225A255">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业务巡检：每月安排技术人员对业务系统运行情况、服务器业务负载、资源使用情况进行检查，对日志记录进行分析。对巡检情况进行分析处理。</w:t>
            </w:r>
          </w:p>
          <w:p w14:paraId="4E947975">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系统故障修复：对学校上报的故障，应当即时响应。系统运行故障恢复时间为30分钟。具体收费业务功能问题，不影响其他收费业务情况下，根据协商处理方案处理。因硬件或其他原因导致无法修复的，应当及时向甲方申请，同意后按照协商方案进行处理。</w:t>
            </w:r>
          </w:p>
          <w:p w14:paraId="7EAD925A">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系统漏洞修复：乙方发现系统有安全风险或漏洞，应当及时通知甲方，并在3日内完成修复。甲方发现漏洞后通知乙方的，乙方应当在收到通知后3日内完成修复。</w:t>
            </w:r>
          </w:p>
          <w:p w14:paraId="507564DA">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如甲方硬件、网络等业务环境发生变化时，乙方应当配合甲方做好系统迁移、部署、调整等工作，保障支付服务不中断。</w:t>
            </w:r>
          </w:p>
          <w:p w14:paraId="3E0206B1">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系统升级：在乙方系统有重要升级时，乙方应当及时与甲方协商升级计划，在不影响甲方支付业务的情况下及时升级系统。</w:t>
            </w:r>
          </w:p>
          <w:p w14:paraId="569C250D">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业务接入能力升级</w:t>
            </w:r>
          </w:p>
          <w:p w14:paraId="39E51050">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全面覆盖校内第三方应用电子支付需求，积极配合甲方做好方案对接，完成系统测试及上线。</w:t>
            </w:r>
          </w:p>
          <w:p w14:paraId="280BFD66">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日常服务升级</w:t>
            </w:r>
          </w:p>
          <w:p w14:paraId="29DFDCEA">
            <w:pPr>
              <w:spacing w:line="360" w:lineRule="auto"/>
              <w:ind w:firstLine="420"/>
              <w:rPr>
                <w:rFonts w:hint="eastAsia" w:ascii="宋体" w:hAnsi="宋体" w:cs="宋体"/>
                <w:bCs/>
                <w:highlight w:val="none"/>
                <w:lang w:eastAsia="zh-CN"/>
              </w:rPr>
            </w:pPr>
            <w:r>
              <w:rPr>
                <w:rFonts w:hint="eastAsia" w:ascii="宋体" w:hAnsi="宋体" w:cs="宋体"/>
                <w:bCs/>
                <w:highlight w:val="none"/>
                <w:lang w:eastAsia="zh-CN"/>
              </w:rPr>
              <w:t>针对日常支付问题，提供在线客服、客服热线电话，解决学生出现的支付问题。</w:t>
            </w:r>
          </w:p>
          <w:p w14:paraId="2AE3C5C4">
            <w:pPr>
              <w:numPr>
                <w:ilvl w:val="1"/>
                <w:numId w:val="2"/>
              </w:numPr>
              <w:kinsoku/>
              <w:autoSpaceDE/>
              <w:autoSpaceDN/>
              <w:adjustRightInd/>
              <w:snapToGrid/>
              <w:spacing w:line="360" w:lineRule="auto"/>
              <w:ind w:hanging="354"/>
              <w:textAlignment w:val="auto"/>
              <w:rPr>
                <w:rFonts w:hint="eastAsia" w:ascii="宋体" w:hAnsi="宋体" w:cs="宋体"/>
                <w:highlight w:val="none"/>
                <w:lang w:eastAsia="zh-CN"/>
              </w:rPr>
            </w:pPr>
            <w:r>
              <w:rPr>
                <w:rFonts w:hint="eastAsia" w:ascii="宋体" w:hAnsi="宋体" w:cs="宋体"/>
                <w:bCs/>
                <w:highlight w:val="none"/>
                <w:lang w:eastAsia="zh-CN"/>
              </w:rPr>
              <w:t>针对甲方支付业务出现的问题，提供及时技术支持及指导，直至问题解决。如遇重大问题，2小时内响应处理。</w:t>
            </w:r>
          </w:p>
          <w:p w14:paraId="6F004C45">
            <w:pPr>
              <w:spacing w:line="360" w:lineRule="auto"/>
              <w:ind w:left="426"/>
              <w:rPr>
                <w:rFonts w:hint="eastAsia" w:ascii="宋体" w:hAnsi="宋体" w:cs="宋体"/>
                <w:b/>
                <w:bCs/>
                <w:highlight w:val="none"/>
                <w:lang w:eastAsia="zh-CN"/>
              </w:rPr>
            </w:pPr>
            <w:r>
              <w:rPr>
                <w:rFonts w:hint="eastAsia" w:ascii="宋体" w:hAnsi="宋体" w:cs="宋体"/>
                <w:b/>
                <w:bCs/>
                <w:highlight w:val="none"/>
                <w:lang w:eastAsia="zh-CN"/>
              </w:rPr>
              <w:t>系统涵盖学杂费，报名费等常规项目；将来可扩展党费，捐赠，临时停车收费，电费充值，水费充值，网费充值等</w:t>
            </w:r>
          </w:p>
          <w:p w14:paraId="26FEA596">
            <w:pPr>
              <w:spacing w:line="360" w:lineRule="auto"/>
              <w:ind w:left="426"/>
              <w:rPr>
                <w:rFonts w:hint="eastAsia" w:ascii="宋体" w:hAnsi="宋体" w:cs="宋体"/>
                <w:highlight w:val="none"/>
                <w:lang w:eastAsia="zh-CN"/>
              </w:rPr>
            </w:pPr>
            <w:r>
              <w:rPr>
                <w:rFonts w:hint="eastAsia" w:ascii="宋体" w:hAnsi="宋体" w:cs="宋体"/>
                <w:b/>
                <w:bCs/>
                <w:highlight w:val="none"/>
                <w:lang w:eastAsia="zh-CN"/>
              </w:rPr>
              <w:t>主动配合学校后期第三方常规系统对接服务，而且免费提供常规业务对接（含非税、数据中心、迎新、学工等系统对接）</w:t>
            </w:r>
          </w:p>
        </w:tc>
        <w:tc>
          <w:tcPr>
            <w:tcW w:w="567" w:type="dxa"/>
            <w:shd w:val="clear" w:color="auto" w:fill="auto"/>
            <w:noWrap/>
            <w:vAlign w:val="center"/>
          </w:tcPr>
          <w:p w14:paraId="7D0FF4C0">
            <w:pPr>
              <w:jc w:val="center"/>
              <w:rPr>
                <w:rFonts w:hint="eastAsia" w:ascii="宋体" w:hAnsi="宋体" w:cs="宋体"/>
                <w:sz w:val="20"/>
                <w:szCs w:val="20"/>
                <w:highlight w:val="none"/>
              </w:rPr>
            </w:pPr>
            <w:r>
              <w:rPr>
                <w:rFonts w:hint="eastAsia" w:ascii="宋体" w:hAnsi="宋体" w:cs="宋体"/>
                <w:sz w:val="20"/>
                <w:szCs w:val="20"/>
                <w:highlight w:val="none"/>
              </w:rPr>
              <w:t>1</w:t>
            </w:r>
          </w:p>
        </w:tc>
        <w:tc>
          <w:tcPr>
            <w:tcW w:w="567" w:type="dxa"/>
            <w:shd w:val="clear" w:color="auto" w:fill="auto"/>
            <w:noWrap/>
            <w:vAlign w:val="center"/>
          </w:tcPr>
          <w:p w14:paraId="3EE74AC5">
            <w:pPr>
              <w:jc w:val="center"/>
              <w:rPr>
                <w:rFonts w:hint="eastAsia" w:ascii="宋体" w:hAnsi="宋体" w:cs="宋体"/>
                <w:sz w:val="20"/>
                <w:szCs w:val="20"/>
                <w:highlight w:val="none"/>
              </w:rPr>
            </w:pPr>
            <w:r>
              <w:rPr>
                <w:rFonts w:hint="eastAsia" w:ascii="宋体" w:hAnsi="宋体" w:cs="宋体"/>
                <w:sz w:val="20"/>
                <w:szCs w:val="20"/>
                <w:highlight w:val="none"/>
              </w:rPr>
              <w:t>套</w:t>
            </w:r>
          </w:p>
        </w:tc>
        <w:tc>
          <w:tcPr>
            <w:tcW w:w="851" w:type="dxa"/>
            <w:shd w:val="clear" w:color="auto" w:fill="auto"/>
            <w:noWrap/>
            <w:vAlign w:val="center"/>
          </w:tcPr>
          <w:p w14:paraId="398F5F29">
            <w:pPr>
              <w:jc w:val="center"/>
              <w:rPr>
                <w:rFonts w:hint="eastAsia" w:ascii="宋体" w:hAnsi="宋体" w:cs="宋体"/>
                <w:sz w:val="20"/>
                <w:szCs w:val="20"/>
                <w:highlight w:val="none"/>
              </w:rPr>
            </w:pPr>
            <w:r>
              <w:rPr>
                <w:rFonts w:hint="eastAsia" w:ascii="宋体" w:hAnsi="宋体" w:cs="宋体"/>
                <w:sz w:val="20"/>
                <w:szCs w:val="20"/>
                <w:highlight w:val="none"/>
              </w:rPr>
              <w:t>25</w:t>
            </w:r>
          </w:p>
        </w:tc>
      </w:tr>
    </w:tbl>
    <w:p w14:paraId="284E0FCC">
      <w:pPr>
        <w:spacing w:line="460" w:lineRule="exact"/>
        <w:rPr>
          <w:rFonts w:hint="eastAsia" w:eastAsia="等线"/>
          <w:b/>
          <w:bCs/>
          <w:sz w:val="32"/>
          <w:szCs w:val="32"/>
          <w:highlight w:val="none"/>
          <w:lang w:eastAsia="zh-CN"/>
        </w:rPr>
      </w:pPr>
    </w:p>
    <w:p w14:paraId="7FB234FC">
      <w:pPr>
        <w:numPr>
          <w:ilvl w:val="0"/>
          <w:numId w:val="3"/>
        </w:numPr>
        <w:spacing w:before="96" w:line="222" w:lineRule="auto"/>
        <w:ind w:left="629"/>
        <w:rPr>
          <w:rFonts w:ascii="仿宋" w:hAnsi="仿宋" w:eastAsia="仿宋" w:cs="仿宋"/>
          <w:spacing w:val="21"/>
          <w:sz w:val="29"/>
          <w:szCs w:val="29"/>
          <w:highlight w:val="none"/>
          <w:lang w:eastAsia="zh-CN"/>
        </w:rPr>
      </w:pPr>
      <w:r>
        <w:rPr>
          <w:rFonts w:hint="eastAsia" w:ascii="仿宋" w:hAnsi="仿宋" w:eastAsia="仿宋" w:cs="仿宋"/>
          <w:spacing w:val="21"/>
          <w:sz w:val="29"/>
          <w:szCs w:val="29"/>
          <w:highlight w:val="none"/>
          <w:lang w:eastAsia="zh-CN"/>
        </w:rPr>
        <w:t xml:space="preserve"> </w:t>
      </w:r>
      <w:r>
        <w:rPr>
          <w:rFonts w:ascii="仿宋" w:hAnsi="仿宋" w:eastAsia="仿宋" w:cs="仿宋"/>
          <w:spacing w:val="21"/>
          <w:sz w:val="29"/>
          <w:szCs w:val="29"/>
          <w:highlight w:val="none"/>
          <w:lang w:eastAsia="zh-CN"/>
        </w:rPr>
        <w:t>采购标的需实现的目标：</w:t>
      </w:r>
    </w:p>
    <w:p w14:paraId="1DDD14B5">
      <w:pPr>
        <w:spacing w:line="360" w:lineRule="auto"/>
        <w:rPr>
          <w:rFonts w:eastAsia="等线"/>
          <w:sz w:val="24"/>
          <w:szCs w:val="24"/>
          <w:lang w:eastAsia="zh-CN"/>
        </w:rPr>
      </w:pPr>
      <w:r>
        <w:rPr>
          <w:rFonts w:hint="eastAsia"/>
          <w:sz w:val="24"/>
          <w:szCs w:val="24"/>
          <w:highlight w:val="none"/>
          <w:lang w:eastAsia="zh-CN"/>
        </w:rPr>
        <w:t xml:space="preserve"> </w:t>
      </w:r>
      <w:r>
        <w:rPr>
          <w:rFonts w:hint="eastAsia" w:eastAsia="等线"/>
          <w:sz w:val="24"/>
          <w:szCs w:val="24"/>
          <w:highlight w:val="none"/>
          <w:lang w:eastAsia="zh-CN"/>
        </w:rPr>
        <w:t xml:space="preserve">  </w:t>
      </w:r>
    </w:p>
    <w:p w14:paraId="1B162FFD">
      <w:pPr>
        <w:spacing w:line="360" w:lineRule="auto"/>
        <w:ind w:firstLine="480" w:firstLineChars="200"/>
        <w:rPr>
          <w:sz w:val="24"/>
          <w:szCs w:val="24"/>
          <w:lang w:eastAsia="zh-CN"/>
        </w:rPr>
      </w:pPr>
      <w:r>
        <w:rPr>
          <w:rFonts w:hint="eastAsia" w:ascii="宋体" w:hAnsi="宋体" w:eastAsia="宋体" w:cs="宋体"/>
          <w:sz w:val="24"/>
          <w:szCs w:val="24"/>
          <w:lang w:eastAsia="zh-CN"/>
        </w:rPr>
        <w:t>建立一个符合国家财经法规要求，适应高校会计改革方向，满足学校发展需要的内部控制信息系统，涵盖预算编制、财务核算、网上报销、收费管理等业务范畴，实现财务内控管理信息化，明确单位内部控制建设的总体目标，以学校内控制度为抓手，以规范学校经济和业务活动有序运行为主线，以内部控制量化评价为导向，以信息技术为支撑，突出规范重点领域，关键岗位的经济和业务活动运行流程、制约措施，逐步将控制对象从经济活动层面拓展到全部业务活动和内部权力运行。</w:t>
      </w:r>
    </w:p>
    <w:p w14:paraId="3773FA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56B5E9"/>
    <w:multiLevelType w:val="singleLevel"/>
    <w:tmpl w:val="F756B5E9"/>
    <w:lvl w:ilvl="0" w:tentative="0">
      <w:start w:val="2"/>
      <w:numFmt w:val="decimal"/>
      <w:lvlText w:val="%1."/>
      <w:lvlJc w:val="left"/>
      <w:pPr>
        <w:tabs>
          <w:tab w:val="left" w:pos="312"/>
        </w:tabs>
      </w:pPr>
    </w:lvl>
  </w:abstractNum>
  <w:abstractNum w:abstractNumId="1">
    <w:nsid w:val="2D06688A"/>
    <w:multiLevelType w:val="multilevel"/>
    <w:tmpl w:val="2D06688A"/>
    <w:lvl w:ilvl="0" w:tentative="0">
      <w:start w:val="1"/>
      <w:numFmt w:val="japaneseCounting"/>
      <w:lvlText w:val="%1、"/>
      <w:lvlJc w:val="left"/>
      <w:pPr>
        <w:ind w:left="744" w:hanging="744"/>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D676FE3"/>
    <w:multiLevelType w:val="multilevel"/>
    <w:tmpl w:val="5D676FE3"/>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95D29"/>
    <w:rsid w:val="55B53F29"/>
    <w:rsid w:val="71595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4"/>
    <w:basedOn w:val="1"/>
    <w:next w:val="1"/>
    <w:qFormat/>
    <w:uiPriority w:val="0"/>
    <w:pPr>
      <w:keepNext/>
      <w:keepLines/>
      <w:widowControl w:val="0"/>
      <w:kinsoku/>
      <w:autoSpaceDE/>
      <w:autoSpaceDN/>
      <w:adjustRightInd/>
      <w:snapToGrid/>
      <w:spacing w:before="280" w:after="290" w:line="376" w:lineRule="auto"/>
      <w:jc w:val="both"/>
      <w:textAlignment w:val="auto"/>
      <w:outlineLvl w:val="3"/>
    </w:pPr>
    <w:rPr>
      <w:rFonts w:eastAsia="黑体" w:cs="Times New Roman"/>
      <w:b/>
      <w:bCs/>
      <w:snapToGrid/>
      <w:color w:val="auto"/>
      <w:kern w:val="2"/>
      <w:sz w:val="28"/>
      <w:szCs w:val="28"/>
      <w:lang w:eastAsia="zh-CN"/>
    </w:rPr>
  </w:style>
  <w:style w:type="paragraph" w:styleId="2">
    <w:name w:val="heading 6"/>
    <w:basedOn w:val="1"/>
    <w:next w:val="1"/>
    <w:qFormat/>
    <w:uiPriority w:val="9"/>
    <w:pPr>
      <w:keepNext/>
      <w:keepLines/>
      <w:spacing w:before="240" w:after="64" w:line="320" w:lineRule="auto"/>
      <w:outlineLvl w:val="5"/>
    </w:pPr>
    <w:rPr>
      <w:rFonts w:ascii="Cambria" w:hAnsi="Cambria" w:eastAsia="宋体" w:cs="Times New Roman"/>
      <w:b/>
      <w:bCs/>
      <w:sz w:val="2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6">
    <w:name w:val="List Paragraph"/>
    <w:basedOn w:val="1"/>
    <w:qFormat/>
    <w:uiPriority w:val="1"/>
    <w:pPr>
      <w:widowControl w:val="0"/>
      <w:kinsoku/>
      <w:autoSpaceDE/>
      <w:autoSpaceDN/>
      <w:adjustRightInd/>
      <w:snapToGrid/>
      <w:spacing w:line="336" w:lineRule="auto"/>
      <w:ind w:left="473" w:firstLine="480"/>
      <w:jc w:val="both"/>
      <w:textAlignment w:val="auto"/>
    </w:pPr>
    <w:rPr>
      <w:rFonts w:ascii="宋体" w:hAnsi="宋体" w:eastAsia="宋体" w:cs="宋体"/>
      <w:snapToGrid/>
      <w:color w:val="auto"/>
      <w:kern w:val="2"/>
      <w:szCs w:val="24"/>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2025-07-11T07:47:00Z</dcterms:created>
  <dc:creator>周建</dc:creator>
  <cp:lastModifiedBy>周建</cp:lastModifiedBy>
  <dcterms:modified xsi:type="dcterms:W3CDTF">2025-07-11T07:56:22Z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67623B5E9B894B8EAA818B0564338BBB_11</vt:lpwstr>
  </property>
  <property fmtid="{D5CDD505-2E9C-101B-9397-08002B2CF9AE}" pid="4" name="KSOTemplateDocerSaveRecord">
    <vt:lpwstr>eyJoZGlkIjoiNWZlNzk4NzEzNGRmNzIwODZhMmY2YzBhOGJmNmZlZDYiLCJ1c2VySWQiOiIxNDc2MjkwMzM1In0=</vt:lpwstr>
  </property>
</Properties>
</file>